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A5F" w:rsidRPr="007F6580" w:rsidRDefault="00FE2A5F" w:rsidP="00FE2A5F">
      <w:pPr>
        <w:pStyle w:val="berschrift1"/>
        <w:jc w:val="center"/>
        <w:rPr>
          <w:sz w:val="28"/>
          <w:szCs w:val="28"/>
        </w:rPr>
      </w:pPr>
      <w:r>
        <w:rPr>
          <w:sz w:val="28"/>
          <w:szCs w:val="28"/>
        </w:rPr>
        <w:t>Merk</w:t>
      </w:r>
      <w:r w:rsidRPr="007F6580">
        <w:rPr>
          <w:sz w:val="28"/>
          <w:szCs w:val="28"/>
        </w:rPr>
        <w:t>blatt</w:t>
      </w:r>
      <w:r>
        <w:rPr>
          <w:sz w:val="28"/>
          <w:szCs w:val="28"/>
        </w:rPr>
        <w:t xml:space="preserve"> für Außendienstmitarbeiter für die Mitführung von Kraftstoffen und Lithiumionen-Akkumulatoren</w:t>
      </w:r>
      <w:r w:rsidRPr="007F6580">
        <w:rPr>
          <w:sz w:val="28"/>
          <w:szCs w:val="28"/>
        </w:rPr>
        <w:t xml:space="preserve"> </w:t>
      </w:r>
    </w:p>
    <w:p w:rsidR="00FE2A5F" w:rsidRPr="007F6580" w:rsidRDefault="00FE2A5F" w:rsidP="00FE2A5F">
      <w:pPr>
        <w:pStyle w:val="berschrift3"/>
        <w:jc w:val="center"/>
        <w:rPr>
          <w:smallCaps/>
        </w:rPr>
      </w:pPr>
      <w:r w:rsidRPr="007F6580">
        <w:rPr>
          <w:smallCaps/>
        </w:rPr>
        <w:t>Vorwort</w:t>
      </w:r>
    </w:p>
    <w:p w:rsidR="001725FA" w:rsidRDefault="00FE2A5F" w:rsidP="00FE2A5F">
      <w:pPr>
        <w:rPr>
          <w:rFonts w:cs="Arial"/>
          <w:sz w:val="20"/>
        </w:rPr>
      </w:pPr>
      <w:r w:rsidRPr="007F6580">
        <w:rPr>
          <w:rFonts w:cs="Arial"/>
          <w:b/>
          <w:smallCaps/>
          <w:sz w:val="20"/>
        </w:rPr>
        <w:t>Achtung</w:t>
      </w:r>
      <w:r w:rsidRPr="007F6580">
        <w:rPr>
          <w:rFonts w:cs="Arial"/>
          <w:b/>
          <w:sz w:val="20"/>
        </w:rPr>
        <w:t>!</w:t>
      </w:r>
      <w:r w:rsidRPr="007F6580">
        <w:rPr>
          <w:rFonts w:cs="Arial"/>
          <w:sz w:val="20"/>
        </w:rPr>
        <w:t xml:space="preserve"> D</w:t>
      </w:r>
      <w:r w:rsidR="001725FA">
        <w:rPr>
          <w:rFonts w:cs="Arial"/>
          <w:sz w:val="20"/>
        </w:rPr>
        <w:t>ieses</w:t>
      </w:r>
      <w:r w:rsidRPr="007F6580">
        <w:rPr>
          <w:rFonts w:cs="Arial"/>
          <w:sz w:val="20"/>
        </w:rPr>
        <w:t xml:space="preserve"> Merkblatt beschreibt </w:t>
      </w:r>
      <w:r>
        <w:rPr>
          <w:rFonts w:cs="Arial"/>
          <w:sz w:val="20"/>
        </w:rPr>
        <w:t xml:space="preserve">die </w:t>
      </w:r>
      <w:r w:rsidR="001725FA">
        <w:rPr>
          <w:rFonts w:cs="Arial"/>
          <w:sz w:val="20"/>
        </w:rPr>
        <w:t xml:space="preserve">Anforderungen für die Beförderung von Kraftstoffen und Lithiumionen-Akkumulatoren (Akku-Packs) unter weitgehender Nutzung von Freistellung von den Gefahrgutvorschriften. </w:t>
      </w:r>
      <w:r w:rsidR="00C656E4">
        <w:rPr>
          <w:rFonts w:cs="Arial"/>
          <w:sz w:val="20"/>
        </w:rPr>
        <w:t>Referenzangaben zum ADR sollen Ihnen im Falle von Kontrollen helfen, die Überwachungsbehörden daraufhin zuweisen, welche Freistellungen Sie nutzen.</w:t>
      </w:r>
    </w:p>
    <w:p w:rsidR="001725FA" w:rsidRDefault="001725FA" w:rsidP="00FE2A5F">
      <w:pPr>
        <w:rPr>
          <w:rFonts w:cs="Arial"/>
          <w:sz w:val="20"/>
        </w:rPr>
      </w:pPr>
      <w:r w:rsidRPr="001725FA">
        <w:rPr>
          <w:rFonts w:cs="Arial"/>
          <w:b/>
          <w:sz w:val="20"/>
        </w:rPr>
        <w:t>Die beschriebenen Anforderungen sind einzuhalten</w:t>
      </w:r>
      <w:r>
        <w:rPr>
          <w:rFonts w:cs="Arial"/>
          <w:sz w:val="20"/>
        </w:rPr>
        <w:t>, da sie teilweise Voraussetzung für die Anwendung von einigen Freistellungen darstellen. Ein Abweichen würde dann bedeuten, dass die Freistellung nicht mehr nutzbar ist und somit ein Gefahrguttransport vorliegt, bei dem dann alle Vorschriften des ADR (Gefahrgutvorschriften für die Straße) einzuhalten sind.</w:t>
      </w:r>
    </w:p>
    <w:p w:rsidR="001725FA" w:rsidRDefault="001725FA" w:rsidP="00FE2A5F">
      <w:pPr>
        <w:rPr>
          <w:rFonts w:cs="Arial"/>
          <w:sz w:val="20"/>
        </w:rPr>
      </w:pPr>
      <w:r>
        <w:rPr>
          <w:rFonts w:cs="Arial"/>
          <w:sz w:val="20"/>
        </w:rPr>
        <w:t xml:space="preserve">Gleiches gilt auch für die angegebenen Höchstmengen, bei deren Überschreitung anstelle keiner oder weniger Gefahrgutvorschriften </w:t>
      </w:r>
      <w:r w:rsidRPr="001725FA">
        <w:rPr>
          <w:rFonts w:cs="Arial"/>
          <w:b/>
          <w:sz w:val="20"/>
        </w:rPr>
        <w:t>alle</w:t>
      </w:r>
      <w:r>
        <w:rPr>
          <w:rFonts w:cs="Arial"/>
          <w:sz w:val="20"/>
        </w:rPr>
        <w:t xml:space="preserve"> einzuhalten sind</w:t>
      </w:r>
      <w:r w:rsidR="00FE2A5F">
        <w:rPr>
          <w:rFonts w:cs="Arial"/>
          <w:sz w:val="20"/>
        </w:rPr>
        <w:t xml:space="preserve">. </w:t>
      </w:r>
      <w:r>
        <w:rPr>
          <w:rFonts w:cs="Arial"/>
          <w:sz w:val="20"/>
        </w:rPr>
        <w:t xml:space="preserve">Insbesondere benötigt </w:t>
      </w:r>
      <w:r w:rsidR="00395032">
        <w:rPr>
          <w:rFonts w:cs="Arial"/>
          <w:sz w:val="20"/>
        </w:rPr>
        <w:t xml:space="preserve">dann </w:t>
      </w:r>
      <w:r>
        <w:rPr>
          <w:rFonts w:cs="Arial"/>
          <w:sz w:val="20"/>
        </w:rPr>
        <w:t>der Fahrer (Sie!) einen Gefahrgutführerschein</w:t>
      </w:r>
      <w:r w:rsidR="005A08EF">
        <w:rPr>
          <w:rFonts w:cs="Arial"/>
          <w:sz w:val="20"/>
        </w:rPr>
        <w:t xml:space="preserve"> und ggf. ist auch das Fahrzeug zu kennzeichnen.</w:t>
      </w:r>
    </w:p>
    <w:p w:rsidR="001725FA" w:rsidRDefault="00FE2A5F" w:rsidP="00FE2A5F">
      <w:pPr>
        <w:rPr>
          <w:rFonts w:cs="Arial"/>
          <w:sz w:val="20"/>
        </w:rPr>
      </w:pPr>
      <w:r>
        <w:rPr>
          <w:rFonts w:cs="Arial"/>
          <w:sz w:val="20"/>
        </w:rPr>
        <w:t xml:space="preserve">Verstöße im Gefahrgutbereich werden mit Geldbußen von einigen hundert Euro geahndet. Daneben ist die </w:t>
      </w:r>
      <w:r w:rsidRPr="001725FA">
        <w:rPr>
          <w:rFonts w:cs="Arial"/>
          <w:b/>
          <w:sz w:val="20"/>
        </w:rPr>
        <w:t>Ladungssicherung</w:t>
      </w:r>
      <w:r>
        <w:rPr>
          <w:rFonts w:cs="Arial"/>
          <w:sz w:val="20"/>
        </w:rPr>
        <w:t xml:space="preserve"> der häufigste Grund für Verstöße.</w:t>
      </w:r>
      <w:r w:rsidR="005F711B">
        <w:rPr>
          <w:rFonts w:cs="Arial"/>
          <w:sz w:val="20"/>
        </w:rPr>
        <w:t xml:space="preserve"> </w:t>
      </w:r>
    </w:p>
    <w:p w:rsidR="00FE2A5F" w:rsidRDefault="005F711B" w:rsidP="00FE2A5F">
      <w:pPr>
        <w:rPr>
          <w:rFonts w:cs="Arial"/>
          <w:sz w:val="20"/>
        </w:rPr>
      </w:pPr>
      <w:r>
        <w:rPr>
          <w:rFonts w:cs="Arial"/>
          <w:sz w:val="20"/>
        </w:rPr>
        <w:t>Das Gefahrgutrecht wird alle 2 Jahre geändert</w:t>
      </w:r>
      <w:r w:rsidR="000D01C6">
        <w:rPr>
          <w:rFonts w:cs="Arial"/>
          <w:sz w:val="20"/>
        </w:rPr>
        <w:t xml:space="preserve"> (alle ungeraden Jahre)</w:t>
      </w:r>
      <w:r>
        <w:rPr>
          <w:rFonts w:cs="Arial"/>
          <w:sz w:val="20"/>
        </w:rPr>
        <w:t>, so dass die Angaben hier ggf. nicht mehr zutreffen können</w:t>
      </w:r>
      <w:r w:rsidR="000D01C6">
        <w:rPr>
          <w:rFonts w:cs="Arial"/>
          <w:sz w:val="20"/>
        </w:rPr>
        <w:t xml:space="preserve"> (siehe auch Bearbeitungsstand in der Fußzeile)</w:t>
      </w:r>
      <w:r>
        <w:rPr>
          <w:rFonts w:cs="Arial"/>
          <w:sz w:val="20"/>
        </w:rPr>
        <w:t xml:space="preserve">. </w:t>
      </w:r>
      <w:r w:rsidR="001725FA">
        <w:rPr>
          <w:rFonts w:cs="Arial"/>
          <w:sz w:val="20"/>
        </w:rPr>
        <w:t>Sie sollten dann nach einem überarbeiteten Merkblatt fragen.</w:t>
      </w:r>
    </w:p>
    <w:p w:rsidR="00FE2A5F" w:rsidRDefault="00FE2A5F" w:rsidP="00FE2A5F">
      <w:pPr>
        <w:rPr>
          <w:rFonts w:cs="Arial"/>
          <w:sz w:val="20"/>
        </w:rPr>
      </w:pPr>
    </w:p>
    <w:p w:rsidR="00FE2A5F" w:rsidRPr="00176EE5" w:rsidRDefault="00FE2A5F" w:rsidP="00FE2A5F">
      <w:pPr>
        <w:rPr>
          <w:rFonts w:cs="Arial"/>
          <w:b/>
          <w:sz w:val="20"/>
          <w:u w:val="single"/>
        </w:rPr>
      </w:pPr>
      <w:r w:rsidRPr="00176EE5">
        <w:rPr>
          <w:rFonts w:cs="Arial"/>
          <w:b/>
          <w:sz w:val="20"/>
          <w:u w:val="single"/>
        </w:rPr>
        <w:t>Eigenschaften</w:t>
      </w:r>
      <w:r w:rsidR="005A08EF">
        <w:rPr>
          <w:rFonts w:cs="Arial"/>
          <w:b/>
          <w:sz w:val="20"/>
          <w:u w:val="single"/>
        </w:rPr>
        <w:t xml:space="preserve"> der Kraftstoffe und Akku-Packs</w:t>
      </w:r>
    </w:p>
    <w:p w:rsidR="001F5768" w:rsidRDefault="00FE2A5F" w:rsidP="00FE2A5F">
      <w:pPr>
        <w:rPr>
          <w:rFonts w:cs="Arial"/>
          <w:sz w:val="20"/>
        </w:rPr>
      </w:pPr>
      <w:r w:rsidRPr="001F5768">
        <w:rPr>
          <w:rFonts w:cs="Arial"/>
          <w:b/>
          <w:sz w:val="20"/>
        </w:rPr>
        <w:t>Kraftstoffe</w:t>
      </w:r>
      <w:r>
        <w:rPr>
          <w:rFonts w:cs="Arial"/>
          <w:sz w:val="20"/>
        </w:rPr>
        <w:t xml:space="preserve"> sind insbesondere aufgrund ihrer leichten Entflammbarkeit sowohl ein Gefahrstoff als auch ein Gefahrgut. Die Bezeichnung Gefahrstoff wird im Chemikalienbereich verwendet und </w:t>
      </w:r>
      <w:r w:rsidR="001725FA">
        <w:rPr>
          <w:rFonts w:cs="Arial"/>
          <w:sz w:val="20"/>
        </w:rPr>
        <w:t xml:space="preserve">dort wird der </w:t>
      </w:r>
      <w:r>
        <w:rPr>
          <w:rFonts w:cs="Arial"/>
          <w:sz w:val="20"/>
        </w:rPr>
        <w:t>Arbeitsschutz</w:t>
      </w:r>
      <w:r w:rsidR="001725FA">
        <w:rPr>
          <w:rFonts w:cs="Arial"/>
          <w:sz w:val="20"/>
        </w:rPr>
        <w:t xml:space="preserve"> geregelt</w:t>
      </w:r>
      <w:r>
        <w:rPr>
          <w:rFonts w:cs="Arial"/>
          <w:sz w:val="20"/>
        </w:rPr>
        <w:t xml:space="preserve">. Gefahrgut ist die Bezeichnung im Beförderungsrecht und umfasst Gefahren bei der Beförderung von Gütern. </w:t>
      </w:r>
      <w:r w:rsidR="00385934">
        <w:rPr>
          <w:rFonts w:cs="Arial"/>
          <w:sz w:val="20"/>
        </w:rPr>
        <w:t>Hauptgefahren der Kraftstoffe ist ihre leichte Entzündbarkeit. Ihre Dämpfe können mit Luft explosive Gemische bilden und führen beim Einatmen zu Benommenheit und Schläfrigkeit</w:t>
      </w:r>
      <w:r w:rsidR="008D586E">
        <w:rPr>
          <w:rFonts w:cs="Arial"/>
          <w:sz w:val="20"/>
        </w:rPr>
        <w:t>, i</w:t>
      </w:r>
      <w:r w:rsidR="00385934">
        <w:rPr>
          <w:rFonts w:cs="Arial"/>
          <w:sz w:val="20"/>
        </w:rPr>
        <w:t>n hohen Konzentrationen auch zur Bewu</w:t>
      </w:r>
      <w:r w:rsidR="00772F44">
        <w:rPr>
          <w:rFonts w:cs="Arial"/>
          <w:sz w:val="20"/>
        </w:rPr>
        <w:t>s</w:t>
      </w:r>
      <w:r w:rsidR="00385934">
        <w:rPr>
          <w:rFonts w:cs="Arial"/>
          <w:sz w:val="20"/>
        </w:rPr>
        <w:t>stlosigkeit.</w:t>
      </w:r>
    </w:p>
    <w:p w:rsidR="00FE2A5F" w:rsidRDefault="00FE2A5F" w:rsidP="00FE2A5F">
      <w:pPr>
        <w:rPr>
          <w:rFonts w:cs="Arial"/>
          <w:sz w:val="20"/>
        </w:rPr>
      </w:pPr>
      <w:r>
        <w:rPr>
          <w:rFonts w:cs="Arial"/>
          <w:sz w:val="20"/>
        </w:rPr>
        <w:t xml:space="preserve">Bei den seitens STIHL verwendeten Kanistern handelt es sich um Einzelverpackungen, die beide Kennzeichnungen nach Chemikalienrecht </w:t>
      </w:r>
      <w:r w:rsidRPr="008D586E">
        <w:rPr>
          <w:rFonts w:cs="Arial"/>
          <w:sz w:val="20"/>
          <w:u w:val="single"/>
        </w:rPr>
        <w:t>und</w:t>
      </w:r>
      <w:r>
        <w:rPr>
          <w:rFonts w:cs="Arial"/>
          <w:sz w:val="20"/>
        </w:rPr>
        <w:t xml:space="preserve"> Gefahrgutrecht tragen müssen. Da die Gefahrgutlabels mindestens 100 mm Kantenlänge haben müssen, sind die zusätzlichen Gefahrstoffkennzeichnungen kleiner (Sind die Kennzeichnungen einer Gefahr nach Chemikalienrecht und Gefahrgutrecht gleich, reicht die Kennzeichnung nach Gefahrgutrecht für diese Gefahr aus.)</w:t>
      </w:r>
    </w:p>
    <w:p w:rsidR="00EC3059" w:rsidRDefault="00FE2A5F" w:rsidP="00FE2A5F">
      <w:pPr>
        <w:rPr>
          <w:rFonts w:cs="Arial"/>
          <w:sz w:val="20"/>
        </w:rPr>
      </w:pPr>
      <w:r>
        <w:rPr>
          <w:rFonts w:cs="Arial"/>
          <w:sz w:val="20"/>
        </w:rPr>
        <w:t xml:space="preserve">Anders verhält es sich bei den </w:t>
      </w:r>
      <w:r w:rsidRPr="001F5768">
        <w:rPr>
          <w:rFonts w:cs="Arial"/>
          <w:b/>
          <w:sz w:val="20"/>
        </w:rPr>
        <w:t>Lithiumionen-Akkumulatoren</w:t>
      </w:r>
      <w:r w:rsidR="00C656E4">
        <w:rPr>
          <w:rFonts w:cs="Arial"/>
          <w:b/>
          <w:sz w:val="20"/>
        </w:rPr>
        <w:t xml:space="preserve"> (Akku-</w:t>
      </w:r>
      <w:r w:rsidR="001F5768" w:rsidRPr="001F5768">
        <w:rPr>
          <w:rFonts w:cs="Arial"/>
          <w:b/>
          <w:sz w:val="20"/>
        </w:rPr>
        <w:t>Packs)</w:t>
      </w:r>
      <w:r>
        <w:rPr>
          <w:rFonts w:cs="Arial"/>
          <w:sz w:val="20"/>
        </w:rPr>
        <w:t xml:space="preserve">, welche zwar Gefahrgut sind, aber als Erzeugnisse nicht dem Chemikalienrecht unterliegen. Somit im rechtlichen Sinne </w:t>
      </w:r>
      <w:r w:rsidR="00395032">
        <w:rPr>
          <w:rFonts w:cs="Arial"/>
          <w:sz w:val="20"/>
        </w:rPr>
        <w:t xml:space="preserve">keine </w:t>
      </w:r>
      <w:r>
        <w:rPr>
          <w:rFonts w:cs="Arial"/>
          <w:sz w:val="20"/>
        </w:rPr>
        <w:t xml:space="preserve">Gefahrstoffe sind. Trotzdem können Beschädigungen der Akkumulatoren aufgrund der Reaktivität des enthaltenen Lithiums zu Bränden führen. </w:t>
      </w:r>
      <w:r w:rsidR="00EC3059">
        <w:rPr>
          <w:rFonts w:cs="Arial"/>
          <w:sz w:val="20"/>
        </w:rPr>
        <w:t>Austretende Dämpfe können ätzend oder/und giftig sein.</w:t>
      </w:r>
    </w:p>
    <w:p w:rsidR="00FE2A5F" w:rsidRDefault="00FE2A5F" w:rsidP="00FE2A5F">
      <w:pPr>
        <w:rPr>
          <w:rFonts w:cs="Arial"/>
          <w:sz w:val="20"/>
        </w:rPr>
      </w:pPr>
      <w:r>
        <w:rPr>
          <w:rFonts w:cs="Arial"/>
          <w:sz w:val="20"/>
        </w:rPr>
        <w:t xml:space="preserve">Beim Gefahrgut wird zwischen den </w:t>
      </w:r>
      <w:r w:rsidRPr="00176EE5">
        <w:rPr>
          <w:rFonts w:cs="Arial"/>
          <w:sz w:val="20"/>
          <w:u w:val="single"/>
        </w:rPr>
        <w:t>Batterien</w:t>
      </w:r>
      <w:r>
        <w:rPr>
          <w:rFonts w:cs="Arial"/>
          <w:sz w:val="20"/>
        </w:rPr>
        <w:t xml:space="preserve"> und </w:t>
      </w:r>
      <w:r w:rsidRPr="00176EE5">
        <w:rPr>
          <w:rFonts w:cs="Arial"/>
          <w:sz w:val="20"/>
          <w:u w:val="single"/>
        </w:rPr>
        <w:t>Batterien, beigepackt zu Ausrüstungen</w:t>
      </w:r>
      <w:r>
        <w:rPr>
          <w:rFonts w:cs="Arial"/>
          <w:sz w:val="20"/>
        </w:rPr>
        <w:t xml:space="preserve"> </w:t>
      </w:r>
      <w:r w:rsidR="00395032">
        <w:rPr>
          <w:rFonts w:cs="Arial"/>
          <w:sz w:val="20"/>
        </w:rPr>
        <w:t xml:space="preserve">(Geräten) </w:t>
      </w:r>
      <w:r>
        <w:rPr>
          <w:rFonts w:cs="Arial"/>
          <w:sz w:val="20"/>
        </w:rPr>
        <w:t xml:space="preserve">unterschieden. Die dritte Variante, </w:t>
      </w:r>
      <w:r w:rsidRPr="00176EE5">
        <w:rPr>
          <w:rFonts w:cs="Arial"/>
          <w:sz w:val="20"/>
          <w:u w:val="single"/>
        </w:rPr>
        <w:t>Batterien in Ausrüstungen</w:t>
      </w:r>
      <w:r>
        <w:rPr>
          <w:rFonts w:cs="Arial"/>
          <w:sz w:val="20"/>
        </w:rPr>
        <w:t xml:space="preserve"> eingebaut</w:t>
      </w:r>
      <w:r w:rsidR="00395032">
        <w:rPr>
          <w:rFonts w:cs="Arial"/>
          <w:sz w:val="20"/>
        </w:rPr>
        <w:t xml:space="preserve"> zu transportieren</w:t>
      </w:r>
      <w:r>
        <w:rPr>
          <w:rFonts w:cs="Arial"/>
          <w:sz w:val="20"/>
        </w:rPr>
        <w:t xml:space="preserve">, </w:t>
      </w:r>
      <w:r w:rsidR="00395032">
        <w:rPr>
          <w:rFonts w:cs="Arial"/>
          <w:sz w:val="20"/>
        </w:rPr>
        <w:t>ist</w:t>
      </w:r>
      <w:r>
        <w:rPr>
          <w:rFonts w:cs="Arial"/>
          <w:sz w:val="20"/>
        </w:rPr>
        <w:t xml:space="preserve"> seitens STIHL </w:t>
      </w:r>
      <w:r w:rsidR="00A82157">
        <w:rPr>
          <w:rFonts w:cs="Arial"/>
          <w:sz w:val="20"/>
        </w:rPr>
        <w:t>mit einer Betriebsanweisung untersagt.</w:t>
      </w:r>
      <w:r>
        <w:rPr>
          <w:rFonts w:cs="Arial"/>
          <w:sz w:val="20"/>
        </w:rPr>
        <w:t xml:space="preserve"> </w:t>
      </w:r>
    </w:p>
    <w:p w:rsidR="00FE2A5F" w:rsidRPr="007F6580" w:rsidRDefault="00FE2A5F" w:rsidP="00FE2A5F">
      <w:pPr>
        <w:rPr>
          <w:rFonts w:cs="Arial"/>
          <w:sz w:val="20"/>
        </w:rPr>
      </w:pPr>
    </w:p>
    <w:p w:rsidR="00FE2A5F" w:rsidRPr="007F6580" w:rsidRDefault="00FE2A5F" w:rsidP="00FE2A5F">
      <w:pPr>
        <w:pStyle w:val="berschrift3"/>
        <w:jc w:val="center"/>
        <w:rPr>
          <w:smallCaps/>
        </w:rPr>
      </w:pPr>
      <w:r>
        <w:rPr>
          <w:smallCaps/>
        </w:rPr>
        <w:lastRenderedPageBreak/>
        <w:t>Gefahrgutdaten für Kraftstoffe</w:t>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6660"/>
      </w:tblGrid>
      <w:tr w:rsidR="00FE2A5F" w:rsidRPr="007F6580" w:rsidTr="0012302E">
        <w:tc>
          <w:tcPr>
            <w:tcW w:w="2628" w:type="dxa"/>
            <w:tcBorders>
              <w:top w:val="single" w:sz="4" w:space="0" w:color="auto"/>
              <w:left w:val="single" w:sz="4" w:space="0" w:color="auto"/>
              <w:bottom w:val="single" w:sz="4" w:space="0" w:color="auto"/>
              <w:right w:val="single" w:sz="4" w:space="0" w:color="auto"/>
            </w:tcBorders>
          </w:tcPr>
          <w:p w:rsidR="00FE2A5F" w:rsidRPr="00FE2A5F" w:rsidRDefault="00FE2A5F" w:rsidP="0012302E">
            <w:pPr>
              <w:spacing w:before="60" w:after="60"/>
              <w:jc w:val="left"/>
              <w:rPr>
                <w:rFonts w:ascii="Arial" w:hAnsi="Arial" w:cs="Arial"/>
                <w:b/>
                <w:sz w:val="20"/>
              </w:rPr>
            </w:pPr>
            <w:r w:rsidRPr="00FE2A5F">
              <w:rPr>
                <w:rFonts w:ascii="Arial" w:hAnsi="Arial" w:cs="Arial"/>
                <w:b/>
                <w:sz w:val="20"/>
              </w:rPr>
              <w:t>UN-Nummer:</w:t>
            </w:r>
          </w:p>
        </w:tc>
        <w:tc>
          <w:tcPr>
            <w:tcW w:w="6660" w:type="dxa"/>
            <w:tcBorders>
              <w:top w:val="single" w:sz="4" w:space="0" w:color="auto"/>
              <w:left w:val="single" w:sz="4" w:space="0" w:color="auto"/>
              <w:bottom w:val="single" w:sz="4" w:space="0" w:color="auto"/>
              <w:right w:val="single" w:sz="4" w:space="0" w:color="auto"/>
            </w:tcBorders>
          </w:tcPr>
          <w:p w:rsidR="00FE2A5F" w:rsidRPr="00FE2A5F" w:rsidRDefault="00FE2A5F" w:rsidP="0012302E">
            <w:pPr>
              <w:spacing w:before="60" w:after="60"/>
              <w:jc w:val="left"/>
              <w:rPr>
                <w:rFonts w:ascii="Arial" w:hAnsi="Arial" w:cs="Arial"/>
                <w:sz w:val="20"/>
              </w:rPr>
            </w:pPr>
            <w:r w:rsidRPr="00FE2A5F">
              <w:rPr>
                <w:rFonts w:ascii="Arial" w:hAnsi="Arial" w:cs="Arial"/>
                <w:sz w:val="20"/>
              </w:rPr>
              <w:t>UN 1203</w:t>
            </w:r>
          </w:p>
        </w:tc>
      </w:tr>
      <w:tr w:rsidR="00FE2A5F" w:rsidRPr="007F6580" w:rsidTr="0012302E">
        <w:tc>
          <w:tcPr>
            <w:tcW w:w="2628" w:type="dxa"/>
            <w:tcBorders>
              <w:top w:val="single" w:sz="4" w:space="0" w:color="auto"/>
              <w:left w:val="single" w:sz="4" w:space="0" w:color="auto"/>
              <w:bottom w:val="single" w:sz="4" w:space="0" w:color="auto"/>
              <w:right w:val="single" w:sz="4" w:space="0" w:color="auto"/>
            </w:tcBorders>
          </w:tcPr>
          <w:p w:rsidR="00FE2A5F" w:rsidRPr="00FE2A5F" w:rsidRDefault="00FE2A5F" w:rsidP="0012302E">
            <w:pPr>
              <w:spacing w:before="60" w:after="60"/>
              <w:jc w:val="left"/>
              <w:rPr>
                <w:rFonts w:ascii="Arial" w:hAnsi="Arial" w:cs="Arial"/>
                <w:b/>
                <w:sz w:val="20"/>
              </w:rPr>
            </w:pPr>
            <w:r w:rsidRPr="00FE2A5F">
              <w:rPr>
                <w:rFonts w:ascii="Arial" w:hAnsi="Arial" w:cs="Arial"/>
                <w:b/>
                <w:sz w:val="20"/>
              </w:rPr>
              <w:t>Gefahrgutbezeichnung:</w:t>
            </w:r>
          </w:p>
        </w:tc>
        <w:tc>
          <w:tcPr>
            <w:tcW w:w="6660" w:type="dxa"/>
            <w:tcBorders>
              <w:top w:val="single" w:sz="4" w:space="0" w:color="auto"/>
              <w:left w:val="single" w:sz="4" w:space="0" w:color="auto"/>
              <w:bottom w:val="single" w:sz="4" w:space="0" w:color="auto"/>
              <w:right w:val="single" w:sz="4" w:space="0" w:color="auto"/>
            </w:tcBorders>
          </w:tcPr>
          <w:p w:rsidR="00FE2A5F" w:rsidRPr="00FE2A5F" w:rsidRDefault="00FE2A5F" w:rsidP="0012302E">
            <w:pPr>
              <w:spacing w:before="60" w:after="60"/>
              <w:jc w:val="left"/>
              <w:rPr>
                <w:rFonts w:ascii="Arial" w:hAnsi="Arial" w:cs="Arial"/>
                <w:sz w:val="20"/>
              </w:rPr>
            </w:pPr>
            <w:r w:rsidRPr="00FE2A5F">
              <w:rPr>
                <w:rFonts w:ascii="Arial" w:hAnsi="Arial" w:cs="Arial"/>
                <w:b/>
                <w:sz w:val="20"/>
              </w:rPr>
              <w:t>Ottokraftstoff</w:t>
            </w:r>
            <w:r w:rsidR="005A08EF">
              <w:rPr>
                <w:rFonts w:ascii="Arial" w:hAnsi="Arial" w:cs="Arial"/>
                <w:b/>
                <w:sz w:val="20"/>
              </w:rPr>
              <w:t>, umweltgefährlich</w:t>
            </w:r>
            <w:r w:rsidRPr="00FE2A5F">
              <w:rPr>
                <w:rFonts w:ascii="Arial" w:hAnsi="Arial" w:cs="Arial"/>
                <w:sz w:val="20"/>
              </w:rPr>
              <w:t xml:space="preserve"> oder </w:t>
            </w:r>
            <w:r w:rsidRPr="00FE2A5F">
              <w:rPr>
                <w:rFonts w:ascii="Arial" w:hAnsi="Arial" w:cs="Arial"/>
                <w:b/>
                <w:sz w:val="20"/>
              </w:rPr>
              <w:t>Benzin</w:t>
            </w:r>
            <w:r w:rsidR="005A08EF">
              <w:rPr>
                <w:rFonts w:ascii="Arial" w:hAnsi="Arial" w:cs="Arial"/>
                <w:b/>
                <w:sz w:val="20"/>
              </w:rPr>
              <w:t>, umweltgefährlich</w:t>
            </w:r>
          </w:p>
        </w:tc>
      </w:tr>
      <w:tr w:rsidR="00FE2A5F" w:rsidRPr="007F6580" w:rsidTr="0012302E">
        <w:tc>
          <w:tcPr>
            <w:tcW w:w="2628" w:type="dxa"/>
            <w:tcBorders>
              <w:top w:val="single" w:sz="4" w:space="0" w:color="auto"/>
              <w:left w:val="single" w:sz="4" w:space="0" w:color="auto"/>
              <w:bottom w:val="single" w:sz="4" w:space="0" w:color="auto"/>
              <w:right w:val="single" w:sz="4" w:space="0" w:color="auto"/>
            </w:tcBorders>
          </w:tcPr>
          <w:p w:rsidR="00FE2A5F" w:rsidRPr="00FE2A5F" w:rsidRDefault="00FE2A5F" w:rsidP="0012302E">
            <w:pPr>
              <w:spacing w:before="60" w:after="60"/>
              <w:jc w:val="left"/>
              <w:rPr>
                <w:rFonts w:ascii="Arial" w:hAnsi="Arial" w:cs="Arial"/>
                <w:b/>
                <w:sz w:val="20"/>
              </w:rPr>
            </w:pPr>
            <w:r w:rsidRPr="00FE2A5F">
              <w:rPr>
                <w:rFonts w:ascii="Arial" w:hAnsi="Arial" w:cs="Arial"/>
                <w:b/>
                <w:sz w:val="20"/>
              </w:rPr>
              <w:t>Klasse:</w:t>
            </w:r>
          </w:p>
        </w:tc>
        <w:tc>
          <w:tcPr>
            <w:tcW w:w="6660" w:type="dxa"/>
            <w:tcBorders>
              <w:top w:val="single" w:sz="4" w:space="0" w:color="auto"/>
              <w:left w:val="single" w:sz="4" w:space="0" w:color="auto"/>
              <w:bottom w:val="single" w:sz="4" w:space="0" w:color="auto"/>
              <w:right w:val="single" w:sz="4" w:space="0" w:color="auto"/>
            </w:tcBorders>
          </w:tcPr>
          <w:p w:rsidR="00FE2A5F" w:rsidRPr="00FE2A5F" w:rsidRDefault="00FE2A5F" w:rsidP="0012302E">
            <w:pPr>
              <w:spacing w:before="60" w:after="60"/>
              <w:jc w:val="left"/>
              <w:rPr>
                <w:rFonts w:ascii="Arial" w:hAnsi="Arial" w:cs="Arial"/>
                <w:sz w:val="20"/>
              </w:rPr>
            </w:pPr>
            <w:r w:rsidRPr="00FE2A5F">
              <w:rPr>
                <w:rFonts w:ascii="Arial" w:hAnsi="Arial" w:cs="Arial"/>
                <w:sz w:val="20"/>
              </w:rPr>
              <w:t>3</w:t>
            </w:r>
          </w:p>
        </w:tc>
      </w:tr>
      <w:tr w:rsidR="00FE2A5F" w:rsidRPr="007F6580" w:rsidTr="0012302E">
        <w:tc>
          <w:tcPr>
            <w:tcW w:w="2628" w:type="dxa"/>
            <w:tcBorders>
              <w:top w:val="single" w:sz="4" w:space="0" w:color="auto"/>
              <w:left w:val="single" w:sz="4" w:space="0" w:color="auto"/>
              <w:bottom w:val="single" w:sz="4" w:space="0" w:color="auto"/>
              <w:right w:val="single" w:sz="4" w:space="0" w:color="auto"/>
            </w:tcBorders>
          </w:tcPr>
          <w:p w:rsidR="00FE2A5F" w:rsidRPr="00FE2A5F" w:rsidRDefault="00FE2A5F" w:rsidP="0012302E">
            <w:pPr>
              <w:spacing w:before="60" w:after="60"/>
              <w:jc w:val="left"/>
              <w:rPr>
                <w:rFonts w:ascii="Arial" w:hAnsi="Arial" w:cs="Arial"/>
                <w:b/>
                <w:sz w:val="20"/>
              </w:rPr>
            </w:pPr>
            <w:r w:rsidRPr="00FE2A5F">
              <w:rPr>
                <w:rFonts w:ascii="Arial" w:hAnsi="Arial" w:cs="Arial"/>
                <w:b/>
                <w:sz w:val="20"/>
              </w:rPr>
              <w:t>Verpackungsgruppe:</w:t>
            </w:r>
          </w:p>
        </w:tc>
        <w:tc>
          <w:tcPr>
            <w:tcW w:w="6660" w:type="dxa"/>
            <w:tcBorders>
              <w:top w:val="single" w:sz="4" w:space="0" w:color="auto"/>
              <w:left w:val="single" w:sz="4" w:space="0" w:color="auto"/>
              <w:bottom w:val="single" w:sz="4" w:space="0" w:color="auto"/>
              <w:right w:val="single" w:sz="4" w:space="0" w:color="auto"/>
            </w:tcBorders>
          </w:tcPr>
          <w:p w:rsidR="00FE2A5F" w:rsidRPr="00FE2A5F" w:rsidRDefault="00FE2A5F" w:rsidP="0012302E">
            <w:pPr>
              <w:spacing w:before="60" w:after="60"/>
              <w:jc w:val="left"/>
              <w:rPr>
                <w:rFonts w:ascii="Arial" w:hAnsi="Arial" w:cs="Arial"/>
                <w:sz w:val="20"/>
              </w:rPr>
            </w:pPr>
            <w:r w:rsidRPr="00FE2A5F">
              <w:rPr>
                <w:rFonts w:ascii="Arial" w:hAnsi="Arial" w:cs="Arial"/>
                <w:sz w:val="20"/>
              </w:rPr>
              <w:t>VG II</w:t>
            </w:r>
          </w:p>
        </w:tc>
      </w:tr>
      <w:tr w:rsidR="00FE2A5F" w:rsidRPr="007F6580" w:rsidTr="0012302E">
        <w:trPr>
          <w:trHeight w:val="2557"/>
        </w:trPr>
        <w:tc>
          <w:tcPr>
            <w:tcW w:w="2628" w:type="dxa"/>
            <w:tcBorders>
              <w:top w:val="single" w:sz="4" w:space="0" w:color="auto"/>
              <w:left w:val="single" w:sz="4" w:space="0" w:color="auto"/>
              <w:bottom w:val="single" w:sz="4" w:space="0" w:color="auto"/>
              <w:right w:val="single" w:sz="4" w:space="0" w:color="auto"/>
            </w:tcBorders>
          </w:tcPr>
          <w:p w:rsidR="00FE2A5F" w:rsidRPr="00FE2A5F" w:rsidRDefault="00FE2A5F" w:rsidP="0012302E">
            <w:pPr>
              <w:spacing w:before="60" w:after="60"/>
              <w:jc w:val="left"/>
              <w:rPr>
                <w:rFonts w:ascii="Arial" w:hAnsi="Arial" w:cs="Arial"/>
                <w:b/>
                <w:sz w:val="20"/>
              </w:rPr>
            </w:pPr>
            <w:r w:rsidRPr="00FE2A5F">
              <w:rPr>
                <w:rFonts w:ascii="Arial" w:hAnsi="Arial" w:cs="Arial"/>
                <w:b/>
                <w:sz w:val="20"/>
              </w:rPr>
              <w:t>Gefahrzettelmuster:</w:t>
            </w:r>
          </w:p>
        </w:tc>
        <w:tc>
          <w:tcPr>
            <w:tcW w:w="6660" w:type="dxa"/>
            <w:tcBorders>
              <w:top w:val="single" w:sz="4" w:space="0" w:color="auto"/>
              <w:left w:val="single" w:sz="4" w:space="0" w:color="auto"/>
              <w:bottom w:val="single" w:sz="4" w:space="0" w:color="auto"/>
              <w:right w:val="single" w:sz="4" w:space="0" w:color="auto"/>
            </w:tcBorders>
          </w:tcPr>
          <w:p w:rsidR="00FE2A5F" w:rsidRPr="00FE2A5F" w:rsidRDefault="00FE2A5F" w:rsidP="0012302E">
            <w:pPr>
              <w:spacing w:before="60" w:after="60"/>
              <w:jc w:val="center"/>
              <w:rPr>
                <w:rFonts w:ascii="Arial" w:hAnsi="Arial" w:cs="Arial"/>
                <w:sz w:val="20"/>
              </w:rPr>
            </w:pPr>
            <w:r w:rsidRPr="00FE2A5F">
              <w:rPr>
                <w:rFonts w:cs="Arial"/>
                <w:noProof/>
                <w:sz w:val="20"/>
              </w:rPr>
              <w:drawing>
                <wp:inline distT="0" distB="0" distL="0" distR="0" wp14:anchorId="3823416F" wp14:editId="3B9215A4">
                  <wp:extent cx="2080895" cy="154490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0845" cy="1552292"/>
                          </a:xfrm>
                          <a:prstGeom prst="rect">
                            <a:avLst/>
                          </a:prstGeom>
                          <a:noFill/>
                          <a:ln>
                            <a:noFill/>
                          </a:ln>
                        </pic:spPr>
                      </pic:pic>
                    </a:graphicData>
                  </a:graphic>
                </wp:inline>
              </w:drawing>
            </w:r>
            <w:r w:rsidR="00244A7E">
              <w:rPr>
                <w:rFonts w:ascii="Arial" w:hAnsi="Arial" w:cs="Arial"/>
                <w:sz w:val="20"/>
              </w:rPr>
              <w:t xml:space="preserve">  bei größer 5 L auch </w:t>
            </w:r>
            <w:r w:rsidR="00244A7E">
              <w:rPr>
                <w:noProof/>
              </w:rPr>
              <w:drawing>
                <wp:inline distT="0" distB="0" distL="0" distR="0" wp14:anchorId="53547C84" wp14:editId="6B39BD00">
                  <wp:extent cx="762000" cy="762000"/>
                  <wp:effectExtent l="0" t="0" r="0" b="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r>
    </w:tbl>
    <w:p w:rsidR="00FE2A5F" w:rsidRPr="007F6580" w:rsidRDefault="00FE2A5F" w:rsidP="00FE2A5F">
      <w:pPr>
        <w:pStyle w:val="berschrift3"/>
        <w:jc w:val="center"/>
        <w:rPr>
          <w:smallCaps/>
        </w:rPr>
      </w:pPr>
      <w:r>
        <w:rPr>
          <w:smallCaps/>
        </w:rPr>
        <w:t>Gefahrgutdaten für Lithiumionen-Akkumulatoren</w:t>
      </w:r>
      <w:r w:rsidR="00C656E4">
        <w:rPr>
          <w:smallCaps/>
        </w:rPr>
        <w:t xml:space="preserve"> (Akku-Packs)</w:t>
      </w: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28"/>
        <w:gridCol w:w="2725"/>
        <w:gridCol w:w="3935"/>
      </w:tblGrid>
      <w:tr w:rsidR="002474C4" w:rsidRPr="007F6580" w:rsidTr="002474C4">
        <w:tc>
          <w:tcPr>
            <w:tcW w:w="2628" w:type="dxa"/>
            <w:tcBorders>
              <w:top w:val="single" w:sz="4" w:space="0" w:color="auto"/>
              <w:left w:val="single" w:sz="4" w:space="0" w:color="auto"/>
              <w:bottom w:val="single" w:sz="4" w:space="0" w:color="auto"/>
              <w:right w:val="single" w:sz="4" w:space="0" w:color="auto"/>
            </w:tcBorders>
          </w:tcPr>
          <w:p w:rsidR="002474C4" w:rsidRPr="00FE2A5F" w:rsidRDefault="002474C4" w:rsidP="0012302E">
            <w:pPr>
              <w:spacing w:before="60" w:after="60"/>
              <w:jc w:val="left"/>
              <w:rPr>
                <w:rFonts w:ascii="Arial" w:hAnsi="Arial" w:cs="Arial"/>
                <w:b/>
                <w:sz w:val="20"/>
              </w:rPr>
            </w:pPr>
            <w:r w:rsidRPr="00FE2A5F">
              <w:rPr>
                <w:rFonts w:ascii="Arial" w:hAnsi="Arial" w:cs="Arial"/>
                <w:b/>
                <w:sz w:val="20"/>
              </w:rPr>
              <w:t>UN-Nummer:</w:t>
            </w:r>
          </w:p>
        </w:tc>
        <w:tc>
          <w:tcPr>
            <w:tcW w:w="2725" w:type="dxa"/>
            <w:tcBorders>
              <w:top w:val="single" w:sz="4" w:space="0" w:color="auto"/>
              <w:left w:val="single" w:sz="4" w:space="0" w:color="auto"/>
              <w:bottom w:val="single" w:sz="4" w:space="0" w:color="auto"/>
              <w:right w:val="single" w:sz="4" w:space="0" w:color="auto"/>
            </w:tcBorders>
          </w:tcPr>
          <w:p w:rsidR="002474C4" w:rsidRPr="00FE2A5F" w:rsidRDefault="002474C4" w:rsidP="002474C4">
            <w:pPr>
              <w:spacing w:before="60" w:after="60"/>
              <w:jc w:val="left"/>
              <w:rPr>
                <w:rFonts w:cs="Arial"/>
                <w:sz w:val="20"/>
              </w:rPr>
            </w:pPr>
            <w:r>
              <w:rPr>
                <w:rFonts w:ascii="Arial" w:hAnsi="Arial" w:cs="Arial"/>
                <w:sz w:val="20"/>
              </w:rPr>
              <w:t>UN 3480</w:t>
            </w:r>
          </w:p>
        </w:tc>
        <w:tc>
          <w:tcPr>
            <w:tcW w:w="3935" w:type="dxa"/>
            <w:tcBorders>
              <w:top w:val="single" w:sz="4" w:space="0" w:color="auto"/>
              <w:left w:val="single" w:sz="4" w:space="0" w:color="auto"/>
              <w:bottom w:val="single" w:sz="4" w:space="0" w:color="auto"/>
              <w:right w:val="single" w:sz="4" w:space="0" w:color="auto"/>
            </w:tcBorders>
          </w:tcPr>
          <w:p w:rsidR="002474C4" w:rsidRPr="00FE2A5F" w:rsidRDefault="002474C4" w:rsidP="0012302E">
            <w:pPr>
              <w:spacing w:before="60" w:after="60"/>
              <w:jc w:val="left"/>
              <w:rPr>
                <w:rFonts w:ascii="Arial" w:hAnsi="Arial" w:cs="Arial"/>
                <w:sz w:val="20"/>
              </w:rPr>
            </w:pPr>
            <w:r w:rsidRPr="00FE2A5F">
              <w:rPr>
                <w:rFonts w:ascii="Arial" w:hAnsi="Arial" w:cs="Arial"/>
                <w:sz w:val="20"/>
              </w:rPr>
              <w:t>UN 3481</w:t>
            </w:r>
          </w:p>
        </w:tc>
      </w:tr>
      <w:tr w:rsidR="002474C4" w:rsidRPr="007F6580" w:rsidTr="002474C4">
        <w:tc>
          <w:tcPr>
            <w:tcW w:w="2628" w:type="dxa"/>
            <w:tcBorders>
              <w:top w:val="single" w:sz="4" w:space="0" w:color="auto"/>
              <w:left w:val="single" w:sz="4" w:space="0" w:color="auto"/>
              <w:bottom w:val="single" w:sz="4" w:space="0" w:color="auto"/>
              <w:right w:val="single" w:sz="4" w:space="0" w:color="auto"/>
            </w:tcBorders>
          </w:tcPr>
          <w:p w:rsidR="002474C4" w:rsidRPr="00FE2A5F" w:rsidRDefault="002474C4" w:rsidP="0012302E">
            <w:pPr>
              <w:spacing w:before="60" w:after="60"/>
              <w:jc w:val="left"/>
              <w:rPr>
                <w:rFonts w:ascii="Arial" w:hAnsi="Arial" w:cs="Arial"/>
                <w:b/>
                <w:sz w:val="20"/>
              </w:rPr>
            </w:pPr>
            <w:r w:rsidRPr="00FE2A5F">
              <w:rPr>
                <w:rFonts w:ascii="Arial" w:hAnsi="Arial" w:cs="Arial"/>
                <w:b/>
                <w:sz w:val="20"/>
              </w:rPr>
              <w:t>Gefahrgutbezeichnung:</w:t>
            </w:r>
          </w:p>
        </w:tc>
        <w:tc>
          <w:tcPr>
            <w:tcW w:w="2725" w:type="dxa"/>
            <w:tcBorders>
              <w:top w:val="single" w:sz="4" w:space="0" w:color="auto"/>
              <w:left w:val="single" w:sz="4" w:space="0" w:color="auto"/>
              <w:bottom w:val="single" w:sz="4" w:space="0" w:color="auto"/>
              <w:right w:val="single" w:sz="4" w:space="0" w:color="auto"/>
            </w:tcBorders>
          </w:tcPr>
          <w:p w:rsidR="002474C4" w:rsidRPr="00FE2A5F" w:rsidRDefault="002474C4" w:rsidP="002474C4">
            <w:pPr>
              <w:spacing w:before="60" w:after="60"/>
              <w:jc w:val="left"/>
              <w:rPr>
                <w:rFonts w:cs="Arial"/>
                <w:sz w:val="20"/>
              </w:rPr>
            </w:pPr>
            <w:r w:rsidRPr="00FE2A5F">
              <w:rPr>
                <w:rFonts w:ascii="Arial" w:hAnsi="Arial" w:cs="Arial"/>
                <w:b/>
                <w:sz w:val="20"/>
              </w:rPr>
              <w:t>Lithium</w:t>
            </w:r>
            <w:r>
              <w:rPr>
                <w:rFonts w:ascii="Arial" w:hAnsi="Arial" w:cs="Arial"/>
                <w:b/>
                <w:sz w:val="20"/>
              </w:rPr>
              <w:t>-I</w:t>
            </w:r>
            <w:r w:rsidRPr="00FE2A5F">
              <w:rPr>
                <w:rFonts w:ascii="Arial" w:hAnsi="Arial" w:cs="Arial"/>
                <w:b/>
                <w:sz w:val="20"/>
              </w:rPr>
              <w:t>onen</w:t>
            </w:r>
            <w:r>
              <w:rPr>
                <w:rFonts w:ascii="Arial" w:hAnsi="Arial" w:cs="Arial"/>
                <w:b/>
                <w:sz w:val="20"/>
              </w:rPr>
              <w:t>-Batterien</w:t>
            </w:r>
            <w:bookmarkStart w:id="0" w:name="_GoBack"/>
            <w:bookmarkEnd w:id="0"/>
          </w:p>
        </w:tc>
        <w:tc>
          <w:tcPr>
            <w:tcW w:w="3935" w:type="dxa"/>
            <w:tcBorders>
              <w:top w:val="single" w:sz="4" w:space="0" w:color="auto"/>
              <w:left w:val="single" w:sz="4" w:space="0" w:color="auto"/>
              <w:bottom w:val="single" w:sz="4" w:space="0" w:color="auto"/>
              <w:right w:val="single" w:sz="4" w:space="0" w:color="auto"/>
            </w:tcBorders>
          </w:tcPr>
          <w:p w:rsidR="002474C4" w:rsidRPr="00FE2A5F" w:rsidRDefault="002474C4" w:rsidP="00192FC2">
            <w:pPr>
              <w:spacing w:before="60" w:after="60"/>
              <w:jc w:val="left"/>
              <w:rPr>
                <w:rFonts w:ascii="Arial" w:hAnsi="Arial" w:cs="Arial"/>
                <w:sz w:val="20"/>
              </w:rPr>
            </w:pPr>
            <w:r w:rsidRPr="00FE2A5F">
              <w:rPr>
                <w:rFonts w:ascii="Arial" w:hAnsi="Arial" w:cs="Arial"/>
                <w:b/>
                <w:sz w:val="20"/>
              </w:rPr>
              <w:t>Lithium</w:t>
            </w:r>
            <w:r>
              <w:rPr>
                <w:rFonts w:ascii="Arial" w:hAnsi="Arial" w:cs="Arial"/>
                <w:b/>
                <w:sz w:val="20"/>
              </w:rPr>
              <w:t>-I</w:t>
            </w:r>
            <w:r w:rsidRPr="00FE2A5F">
              <w:rPr>
                <w:rFonts w:ascii="Arial" w:hAnsi="Arial" w:cs="Arial"/>
                <w:b/>
                <w:sz w:val="20"/>
              </w:rPr>
              <w:t>onen</w:t>
            </w:r>
            <w:r>
              <w:rPr>
                <w:rFonts w:ascii="Arial" w:hAnsi="Arial" w:cs="Arial"/>
                <w:b/>
                <w:sz w:val="20"/>
              </w:rPr>
              <w:t>-B</w:t>
            </w:r>
            <w:r w:rsidRPr="00FE2A5F">
              <w:rPr>
                <w:rFonts w:ascii="Arial" w:hAnsi="Arial" w:cs="Arial"/>
                <w:b/>
                <w:sz w:val="20"/>
              </w:rPr>
              <w:t xml:space="preserve">atterien, </w:t>
            </w:r>
            <w:r>
              <w:rPr>
                <w:rFonts w:ascii="Arial" w:hAnsi="Arial" w:cs="Arial"/>
                <w:b/>
                <w:sz w:val="20"/>
              </w:rPr>
              <w:t>mit</w:t>
            </w:r>
            <w:r w:rsidRPr="00FE2A5F">
              <w:rPr>
                <w:rFonts w:ascii="Arial" w:hAnsi="Arial" w:cs="Arial"/>
                <w:b/>
                <w:sz w:val="20"/>
              </w:rPr>
              <w:t xml:space="preserve"> Ausrüstungen</w:t>
            </w:r>
            <w:r>
              <w:rPr>
                <w:rFonts w:ascii="Arial" w:hAnsi="Arial" w:cs="Arial"/>
                <w:b/>
                <w:sz w:val="20"/>
              </w:rPr>
              <w:t xml:space="preserve"> verpackt </w:t>
            </w:r>
            <w:r w:rsidRPr="002474C4">
              <w:rPr>
                <w:rFonts w:ascii="Arial" w:hAnsi="Arial" w:cs="Arial"/>
                <w:sz w:val="20"/>
              </w:rPr>
              <w:t>oder</w:t>
            </w:r>
            <w:r>
              <w:rPr>
                <w:rFonts w:ascii="Arial" w:hAnsi="Arial" w:cs="Arial"/>
                <w:b/>
                <w:sz w:val="20"/>
              </w:rPr>
              <w:t xml:space="preserve"> Lithium-Ionen-Batterien in Ausrüstungen</w:t>
            </w:r>
          </w:p>
        </w:tc>
      </w:tr>
      <w:tr w:rsidR="00FE2A5F" w:rsidRPr="007F6580" w:rsidTr="0012302E">
        <w:tc>
          <w:tcPr>
            <w:tcW w:w="2628" w:type="dxa"/>
            <w:tcBorders>
              <w:top w:val="single" w:sz="4" w:space="0" w:color="auto"/>
              <w:left w:val="single" w:sz="4" w:space="0" w:color="auto"/>
              <w:bottom w:val="single" w:sz="4" w:space="0" w:color="auto"/>
              <w:right w:val="single" w:sz="4" w:space="0" w:color="auto"/>
            </w:tcBorders>
          </w:tcPr>
          <w:p w:rsidR="00FE2A5F" w:rsidRPr="00FE2A5F" w:rsidRDefault="00FE2A5F" w:rsidP="0012302E">
            <w:pPr>
              <w:spacing w:before="60" w:after="60"/>
              <w:jc w:val="left"/>
              <w:rPr>
                <w:rFonts w:ascii="Arial" w:hAnsi="Arial" w:cs="Arial"/>
                <w:b/>
                <w:sz w:val="20"/>
              </w:rPr>
            </w:pPr>
            <w:r w:rsidRPr="00FE2A5F">
              <w:rPr>
                <w:rFonts w:ascii="Arial" w:hAnsi="Arial" w:cs="Arial"/>
                <w:b/>
                <w:sz w:val="20"/>
              </w:rPr>
              <w:t>Klasse:</w:t>
            </w:r>
          </w:p>
        </w:tc>
        <w:tc>
          <w:tcPr>
            <w:tcW w:w="6660" w:type="dxa"/>
            <w:gridSpan w:val="2"/>
            <w:tcBorders>
              <w:top w:val="single" w:sz="4" w:space="0" w:color="auto"/>
              <w:left w:val="single" w:sz="4" w:space="0" w:color="auto"/>
              <w:bottom w:val="single" w:sz="4" w:space="0" w:color="auto"/>
              <w:right w:val="single" w:sz="4" w:space="0" w:color="auto"/>
            </w:tcBorders>
          </w:tcPr>
          <w:p w:rsidR="00FE2A5F" w:rsidRPr="00FE2A5F" w:rsidRDefault="00FE2A5F" w:rsidP="0012302E">
            <w:pPr>
              <w:spacing w:before="60" w:after="60"/>
              <w:jc w:val="left"/>
              <w:rPr>
                <w:rFonts w:ascii="Arial" w:hAnsi="Arial" w:cs="Arial"/>
                <w:sz w:val="20"/>
              </w:rPr>
            </w:pPr>
            <w:r w:rsidRPr="00FE2A5F">
              <w:rPr>
                <w:rFonts w:ascii="Arial" w:hAnsi="Arial" w:cs="Arial"/>
                <w:sz w:val="20"/>
              </w:rPr>
              <w:t>9</w:t>
            </w:r>
          </w:p>
        </w:tc>
      </w:tr>
      <w:tr w:rsidR="00FE2A5F" w:rsidRPr="007F6580" w:rsidTr="0012302E">
        <w:tc>
          <w:tcPr>
            <w:tcW w:w="2628" w:type="dxa"/>
            <w:tcBorders>
              <w:top w:val="single" w:sz="4" w:space="0" w:color="auto"/>
              <w:left w:val="single" w:sz="4" w:space="0" w:color="auto"/>
              <w:bottom w:val="single" w:sz="4" w:space="0" w:color="auto"/>
              <w:right w:val="single" w:sz="4" w:space="0" w:color="auto"/>
            </w:tcBorders>
          </w:tcPr>
          <w:p w:rsidR="00FE2A5F" w:rsidRPr="00FE2A5F" w:rsidRDefault="00FE2A5F" w:rsidP="0012302E">
            <w:pPr>
              <w:spacing w:before="60" w:after="60"/>
              <w:jc w:val="left"/>
              <w:rPr>
                <w:rFonts w:ascii="Arial" w:hAnsi="Arial" w:cs="Arial"/>
                <w:b/>
                <w:sz w:val="20"/>
              </w:rPr>
            </w:pPr>
            <w:r w:rsidRPr="00FE2A5F">
              <w:rPr>
                <w:rFonts w:ascii="Arial" w:hAnsi="Arial" w:cs="Arial"/>
                <w:b/>
                <w:sz w:val="20"/>
              </w:rPr>
              <w:t>Verpackungsgruppe:</w:t>
            </w:r>
          </w:p>
        </w:tc>
        <w:tc>
          <w:tcPr>
            <w:tcW w:w="6660" w:type="dxa"/>
            <w:gridSpan w:val="2"/>
            <w:tcBorders>
              <w:top w:val="single" w:sz="4" w:space="0" w:color="auto"/>
              <w:left w:val="single" w:sz="4" w:space="0" w:color="auto"/>
              <w:bottom w:val="single" w:sz="4" w:space="0" w:color="auto"/>
              <w:right w:val="single" w:sz="4" w:space="0" w:color="auto"/>
            </w:tcBorders>
          </w:tcPr>
          <w:p w:rsidR="00FE2A5F" w:rsidRPr="00FE2A5F" w:rsidRDefault="000D01C6" w:rsidP="000D01C6">
            <w:pPr>
              <w:spacing w:before="60" w:after="60"/>
              <w:jc w:val="left"/>
              <w:rPr>
                <w:rFonts w:ascii="Arial" w:hAnsi="Arial" w:cs="Arial"/>
                <w:sz w:val="20"/>
              </w:rPr>
            </w:pPr>
            <w:r>
              <w:rPr>
                <w:rFonts w:ascii="Arial" w:hAnsi="Arial" w:cs="Arial"/>
                <w:sz w:val="20"/>
              </w:rPr>
              <w:t>Entfällt</w:t>
            </w:r>
          </w:p>
        </w:tc>
      </w:tr>
      <w:tr w:rsidR="00FE2A5F" w:rsidRPr="007F6580" w:rsidTr="0012302E">
        <w:trPr>
          <w:trHeight w:val="1498"/>
        </w:trPr>
        <w:tc>
          <w:tcPr>
            <w:tcW w:w="2628" w:type="dxa"/>
            <w:tcBorders>
              <w:top w:val="single" w:sz="4" w:space="0" w:color="auto"/>
              <w:left w:val="single" w:sz="4" w:space="0" w:color="auto"/>
              <w:bottom w:val="single" w:sz="4" w:space="0" w:color="auto"/>
              <w:right w:val="single" w:sz="4" w:space="0" w:color="auto"/>
            </w:tcBorders>
          </w:tcPr>
          <w:p w:rsidR="00FE2A5F" w:rsidRPr="00FE2A5F" w:rsidRDefault="00FE2A5F" w:rsidP="0012302E">
            <w:pPr>
              <w:spacing w:before="60" w:after="60"/>
              <w:jc w:val="left"/>
              <w:rPr>
                <w:rFonts w:ascii="Arial" w:hAnsi="Arial" w:cs="Arial"/>
                <w:b/>
                <w:sz w:val="20"/>
              </w:rPr>
            </w:pPr>
            <w:r w:rsidRPr="00FE2A5F">
              <w:rPr>
                <w:rFonts w:ascii="Arial" w:hAnsi="Arial" w:cs="Arial"/>
                <w:b/>
                <w:sz w:val="20"/>
              </w:rPr>
              <w:t>Gefahrzettelmuster:</w:t>
            </w:r>
          </w:p>
        </w:tc>
        <w:tc>
          <w:tcPr>
            <w:tcW w:w="6660" w:type="dxa"/>
            <w:gridSpan w:val="2"/>
            <w:tcBorders>
              <w:top w:val="single" w:sz="4" w:space="0" w:color="auto"/>
              <w:left w:val="single" w:sz="4" w:space="0" w:color="auto"/>
              <w:bottom w:val="single" w:sz="4" w:space="0" w:color="auto"/>
              <w:right w:val="single" w:sz="4" w:space="0" w:color="auto"/>
            </w:tcBorders>
          </w:tcPr>
          <w:p w:rsidR="00FE2A5F" w:rsidRPr="00FE2A5F" w:rsidRDefault="000D01C6" w:rsidP="0012302E">
            <w:pPr>
              <w:spacing w:before="60" w:after="60"/>
              <w:jc w:val="center"/>
              <w:rPr>
                <w:rFonts w:ascii="Arial" w:hAnsi="Arial" w:cs="Arial"/>
                <w:sz w:val="20"/>
              </w:rPr>
            </w:pPr>
            <w:r>
              <w:rPr>
                <w:noProof/>
              </w:rPr>
              <w:drawing>
                <wp:inline distT="0" distB="0" distL="0" distR="0" wp14:anchorId="33EFEA53" wp14:editId="15FD4361">
                  <wp:extent cx="1113155" cy="1113155"/>
                  <wp:effectExtent l="0" t="0" r="0" b="0"/>
                  <wp:docPr id="55" name="Grafik 55" descr="Bildergebnis für gefahrzettel 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gefahrzettel 9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229" cy="1115229"/>
                          </a:xfrm>
                          <a:prstGeom prst="rect">
                            <a:avLst/>
                          </a:prstGeom>
                          <a:noFill/>
                          <a:ln>
                            <a:noFill/>
                          </a:ln>
                        </pic:spPr>
                      </pic:pic>
                    </a:graphicData>
                  </a:graphic>
                </wp:inline>
              </w:drawing>
            </w:r>
            <w:r>
              <w:rPr>
                <w:rFonts w:ascii="Arial" w:hAnsi="Arial" w:cs="Arial"/>
                <w:sz w:val="20"/>
              </w:rPr>
              <w:t>(Gefahrzettel 9A)</w:t>
            </w:r>
          </w:p>
        </w:tc>
      </w:tr>
    </w:tbl>
    <w:p w:rsidR="00DC23CA" w:rsidRDefault="00DC23CA"/>
    <w:p w:rsidR="001F5768" w:rsidRPr="001F5768" w:rsidRDefault="001F5768">
      <w:pPr>
        <w:rPr>
          <w:b/>
          <w:sz w:val="20"/>
        </w:rPr>
      </w:pPr>
      <w:r w:rsidRPr="001F5768">
        <w:rPr>
          <w:b/>
          <w:sz w:val="20"/>
        </w:rPr>
        <w:t>Genutzte Freistellungen:</w:t>
      </w:r>
    </w:p>
    <w:p w:rsidR="001F5768" w:rsidRDefault="001F5768">
      <w:pPr>
        <w:rPr>
          <w:sz w:val="20"/>
        </w:rPr>
      </w:pPr>
      <w:r>
        <w:rPr>
          <w:sz w:val="20"/>
        </w:rPr>
        <w:t>Von den Vorschriften des ADR befreit</w:t>
      </w:r>
      <w:r w:rsidR="00C656E4">
        <w:rPr>
          <w:sz w:val="20"/>
        </w:rPr>
        <w:t xml:space="preserve"> (1.1.3.1 c ADR) sind</w:t>
      </w:r>
      <w:r>
        <w:rPr>
          <w:sz w:val="20"/>
        </w:rPr>
        <w:t xml:space="preserve"> </w:t>
      </w:r>
      <w:r w:rsidRPr="00244A7E">
        <w:rPr>
          <w:b/>
          <w:sz w:val="20"/>
        </w:rPr>
        <w:t>Beförderungen, die von Unternehmen in Verbindung mit ihrer Haupttätigkeit</w:t>
      </w:r>
      <w:r>
        <w:rPr>
          <w:sz w:val="20"/>
        </w:rPr>
        <w:t xml:space="preserve"> ausgeführt werden. Dies ist die wesentliche Freistellung, nach der Sie im Außendienst die Möglichkeit haben, auch Gefahrgüter unter vereinfachten Bedingungen zu befördern.</w:t>
      </w:r>
    </w:p>
    <w:p w:rsidR="00C656E4" w:rsidRDefault="00C656E4">
      <w:pPr>
        <w:rPr>
          <w:sz w:val="20"/>
        </w:rPr>
      </w:pPr>
      <w:r>
        <w:rPr>
          <w:sz w:val="20"/>
        </w:rPr>
        <w:t>STIHL betreibt mit den Geräten Handel (Haupttätigkeit) und um diese Geräte den Kunden vorzuführen, sind auch die Betriebsstoffe von Nöten, wie Kraftstoffe und Akku-Packs. Grundvoraussetzung ist die Beachtung der Gesamtmenge an beförderten Gefahrgütern.</w:t>
      </w:r>
      <w:r w:rsidR="002C26F0">
        <w:rPr>
          <w:sz w:val="20"/>
        </w:rPr>
        <w:t xml:space="preserve"> Die Gefahrgüter müssen entsprechend verpackt sein. Die Kanister der Kraftstoffe gelten als Einzelverpackungen nach Gefahrgutrecht und sind entsprechend zugelassen.</w:t>
      </w:r>
    </w:p>
    <w:p w:rsidR="00C656E4" w:rsidRDefault="00C656E4">
      <w:pPr>
        <w:rPr>
          <w:sz w:val="20"/>
        </w:rPr>
      </w:pPr>
      <w:r>
        <w:rPr>
          <w:sz w:val="20"/>
        </w:rPr>
        <w:t>Ebenfalls von den Vorschriften des ADR befreit (1.1.3.</w:t>
      </w:r>
      <w:r w:rsidR="002C26F0">
        <w:rPr>
          <w:sz w:val="20"/>
        </w:rPr>
        <w:t>3</w:t>
      </w:r>
      <w:r>
        <w:rPr>
          <w:sz w:val="20"/>
        </w:rPr>
        <w:t xml:space="preserve"> </w:t>
      </w:r>
      <w:r w:rsidR="002C26F0">
        <w:rPr>
          <w:sz w:val="20"/>
        </w:rPr>
        <w:t>c</w:t>
      </w:r>
      <w:r>
        <w:rPr>
          <w:sz w:val="20"/>
        </w:rPr>
        <w:t xml:space="preserve"> ADR) sind </w:t>
      </w:r>
      <w:r w:rsidRPr="00244A7E">
        <w:rPr>
          <w:b/>
          <w:sz w:val="20"/>
        </w:rPr>
        <w:t xml:space="preserve">Beförderungen von Maschinen und Geräten, die </w:t>
      </w:r>
      <w:r w:rsidR="002C26F0" w:rsidRPr="00244A7E">
        <w:rPr>
          <w:b/>
          <w:sz w:val="20"/>
        </w:rPr>
        <w:t>für den Antrieb Kraftstoff benötigen</w:t>
      </w:r>
      <w:r w:rsidR="002C26F0">
        <w:rPr>
          <w:sz w:val="20"/>
        </w:rPr>
        <w:t xml:space="preserve">. Hierbei darf Kraftstoff in befestigten Kraftstoffbehältern, die direkt mit dem Motor verbunden sind, befördert werden. </w:t>
      </w:r>
      <w:r>
        <w:rPr>
          <w:sz w:val="20"/>
        </w:rPr>
        <w:t xml:space="preserve">Hierbei ist die </w:t>
      </w:r>
      <w:r>
        <w:rPr>
          <w:sz w:val="20"/>
        </w:rPr>
        <w:lastRenderedPageBreak/>
        <w:t>Freisetzung der Gefahrgüter (auch in geringen Mengen) bei der Beförderung durch geeignete Maßnahmen zu verhindern.</w:t>
      </w:r>
      <w:r w:rsidR="002C26F0">
        <w:rPr>
          <w:sz w:val="20"/>
        </w:rPr>
        <w:t xml:space="preserve"> Soweit erforderlich müssen die Geräte aufrecht verladen und gegen Umfallen gesichert sein.</w:t>
      </w:r>
    </w:p>
    <w:p w:rsidR="001F5768" w:rsidRDefault="002C26F0">
      <w:pPr>
        <w:rPr>
          <w:sz w:val="20"/>
        </w:rPr>
      </w:pPr>
      <w:r>
        <w:rPr>
          <w:sz w:val="20"/>
        </w:rPr>
        <w:t>Unter Maschinen und Geräte fallen auch die forstwirtschaftlichen Geräte und Maschinen, wie</w:t>
      </w:r>
      <w:r w:rsidR="00C656E4">
        <w:rPr>
          <w:sz w:val="20"/>
        </w:rPr>
        <w:t xml:space="preserve"> </w:t>
      </w:r>
      <w:r>
        <w:rPr>
          <w:sz w:val="20"/>
        </w:rPr>
        <w:t xml:space="preserve">Motorsägen, etc. Reste von Kraftstoff müssen nach einer Vorführung nicht entnommen werden, wenn sichergestellt ist, dass </w:t>
      </w:r>
      <w:r w:rsidR="005A08EF">
        <w:rPr>
          <w:sz w:val="20"/>
        </w:rPr>
        <w:t xml:space="preserve">diese </w:t>
      </w:r>
      <w:r>
        <w:rPr>
          <w:sz w:val="20"/>
        </w:rPr>
        <w:t>während der Beförderung nicht austreten k</w:t>
      </w:r>
      <w:r w:rsidR="005A08EF">
        <w:rPr>
          <w:sz w:val="20"/>
        </w:rPr>
        <w:t>ö</w:t>
      </w:r>
      <w:r>
        <w:rPr>
          <w:sz w:val="20"/>
        </w:rPr>
        <w:t>nn</w:t>
      </w:r>
      <w:r w:rsidR="005A08EF">
        <w:rPr>
          <w:sz w:val="20"/>
        </w:rPr>
        <w:t>en</w:t>
      </w:r>
      <w:r>
        <w:rPr>
          <w:sz w:val="20"/>
        </w:rPr>
        <w:t xml:space="preserve">. </w:t>
      </w:r>
    </w:p>
    <w:p w:rsidR="002C26F0" w:rsidRDefault="002C26F0">
      <w:pPr>
        <w:rPr>
          <w:sz w:val="20"/>
        </w:rPr>
      </w:pPr>
      <w:r>
        <w:rPr>
          <w:sz w:val="20"/>
        </w:rPr>
        <w:t>Die Ausnahme 18 der Gefahrgutausnahmeverordnung (</w:t>
      </w:r>
      <w:r w:rsidR="00C24795">
        <w:rPr>
          <w:sz w:val="20"/>
        </w:rPr>
        <w:t xml:space="preserve">Ausnahme 18 </w:t>
      </w:r>
      <w:r>
        <w:rPr>
          <w:sz w:val="20"/>
        </w:rPr>
        <w:t>GGAV</w:t>
      </w:r>
      <w:r w:rsidR="008943EC">
        <w:rPr>
          <w:sz w:val="20"/>
        </w:rPr>
        <w:t>; gilt nur in Deutschland</w:t>
      </w:r>
      <w:r>
        <w:rPr>
          <w:sz w:val="20"/>
        </w:rPr>
        <w:t xml:space="preserve">) erlaubt die </w:t>
      </w:r>
      <w:r w:rsidRPr="00244A7E">
        <w:rPr>
          <w:b/>
          <w:sz w:val="20"/>
        </w:rPr>
        <w:t>Beförderung ohne Beförderungspapier</w:t>
      </w:r>
      <w:r>
        <w:rPr>
          <w:sz w:val="20"/>
        </w:rPr>
        <w:t xml:space="preserve">, sofern es sich um verpackte Gefahrgüter oder ungereinigte leere Verpackungen handelt. </w:t>
      </w:r>
      <w:r w:rsidRPr="009A43BA">
        <w:rPr>
          <w:b/>
          <w:sz w:val="20"/>
        </w:rPr>
        <w:t>Die Gefahrgüter dürfen dabei nicht an Dritte</w:t>
      </w:r>
      <w:r w:rsidR="00244A7E">
        <w:rPr>
          <w:b/>
          <w:sz w:val="20"/>
        </w:rPr>
        <w:t xml:space="preserve"> zur Beförderung</w:t>
      </w:r>
      <w:r w:rsidRPr="009A43BA">
        <w:rPr>
          <w:b/>
          <w:sz w:val="20"/>
        </w:rPr>
        <w:t xml:space="preserve"> übergeben werden</w:t>
      </w:r>
      <w:r>
        <w:rPr>
          <w:sz w:val="20"/>
        </w:rPr>
        <w:t>. Auch hier ist die Gesamtmenge strikt einzuhalten, um diese Ausnahme nutzen zu können.</w:t>
      </w:r>
      <w:r w:rsidR="00AB4EF1">
        <w:rPr>
          <w:sz w:val="20"/>
        </w:rPr>
        <w:t xml:space="preserve"> Ein Kraftstoffkanister, der leer ist, enthält immer noch Spuren von Kraftstoff und ist wie ein voller Kanister </w:t>
      </w:r>
      <w:r w:rsidR="00244A7E">
        <w:rPr>
          <w:sz w:val="20"/>
        </w:rPr>
        <w:t xml:space="preserve">weiterhin </w:t>
      </w:r>
      <w:r w:rsidR="00AB4EF1">
        <w:rPr>
          <w:sz w:val="20"/>
        </w:rPr>
        <w:t>Gefahrgut (ungereinigte leere Verpackung)</w:t>
      </w:r>
      <w:r w:rsidR="00B31842">
        <w:rPr>
          <w:sz w:val="20"/>
        </w:rPr>
        <w:t xml:space="preserve"> und darf nur geschlossen befördert werden</w:t>
      </w:r>
      <w:r w:rsidR="00AB4EF1">
        <w:rPr>
          <w:sz w:val="20"/>
        </w:rPr>
        <w:t xml:space="preserve">. </w:t>
      </w:r>
    </w:p>
    <w:p w:rsidR="002C26F0" w:rsidRDefault="002C26F0">
      <w:pPr>
        <w:rPr>
          <w:sz w:val="20"/>
        </w:rPr>
      </w:pPr>
    </w:p>
    <w:p w:rsidR="002C26F0" w:rsidRDefault="00AB4EF1">
      <w:pPr>
        <w:rPr>
          <w:b/>
          <w:sz w:val="20"/>
        </w:rPr>
      </w:pPr>
      <w:r w:rsidRPr="00AB4EF1">
        <w:rPr>
          <w:b/>
          <w:sz w:val="20"/>
        </w:rPr>
        <w:t>Einzuhaltende Anforderungen</w:t>
      </w:r>
    </w:p>
    <w:p w:rsidR="009A43BA" w:rsidRDefault="009A43BA">
      <w:pPr>
        <w:rPr>
          <w:b/>
          <w:sz w:val="20"/>
        </w:rPr>
      </w:pPr>
    </w:p>
    <w:p w:rsidR="009A43BA" w:rsidRPr="00AB4EF1" w:rsidRDefault="009A43BA">
      <w:pPr>
        <w:rPr>
          <w:b/>
          <w:sz w:val="20"/>
        </w:rPr>
      </w:pPr>
      <w:r>
        <w:rPr>
          <w:b/>
          <w:sz w:val="20"/>
        </w:rPr>
        <w:t>GRUNDANFORDERUNG</w:t>
      </w:r>
    </w:p>
    <w:p w:rsidR="00AB4EF1" w:rsidRDefault="00AB4EF1">
      <w:pPr>
        <w:rPr>
          <w:sz w:val="20"/>
        </w:rPr>
      </w:pPr>
      <w:r>
        <w:rPr>
          <w:sz w:val="20"/>
        </w:rPr>
        <w:t>Da beide gefährlichen Güter in die gleiche Beförderungskategorie klassifiziert sind, können die Mengen einfach addiert werden (im Gefahrgutrecht gilt</w:t>
      </w:r>
      <w:r w:rsidR="00244A7E">
        <w:rPr>
          <w:sz w:val="20"/>
        </w:rPr>
        <w:t xml:space="preserve"> hier vereinfacht</w:t>
      </w:r>
      <w:r>
        <w:rPr>
          <w:sz w:val="20"/>
        </w:rPr>
        <w:t xml:space="preserve"> 1 Liter = 1 Kilogramm). </w:t>
      </w:r>
    </w:p>
    <w:p w:rsidR="002C26F0" w:rsidRPr="00AB4EF1" w:rsidRDefault="00AB4EF1">
      <w:pPr>
        <w:rPr>
          <w:b/>
          <w:sz w:val="20"/>
        </w:rPr>
      </w:pPr>
      <w:r w:rsidRPr="00AB4EF1">
        <w:rPr>
          <w:b/>
          <w:sz w:val="20"/>
        </w:rPr>
        <w:t xml:space="preserve">Die höchste zulässige Gesamtmenge beträgt 333 Liter/Kilogramm an gefährlichen Gütern. </w:t>
      </w:r>
    </w:p>
    <w:p w:rsidR="009A43BA" w:rsidRDefault="009A43BA" w:rsidP="009A43BA">
      <w:pPr>
        <w:rPr>
          <w:sz w:val="20"/>
        </w:rPr>
      </w:pPr>
      <w:r>
        <w:rPr>
          <w:sz w:val="20"/>
        </w:rPr>
        <w:t xml:space="preserve">Sie können einfach die Anzahl eines jeweiligen Akku-Pack-Typs mit seinem Einzelgewicht multiplizieren. Sind die Akku-Packs Geräten beigepackt, ist nur das Gewicht der Akku-Packs zu berücksichtigen. </w:t>
      </w:r>
    </w:p>
    <w:p w:rsidR="009A43BA" w:rsidRDefault="009A43BA" w:rsidP="009A43BA">
      <w:pPr>
        <w:rPr>
          <w:sz w:val="20"/>
        </w:rPr>
      </w:pPr>
      <w:r>
        <w:rPr>
          <w:sz w:val="20"/>
        </w:rPr>
        <w:t>Addieren Sie dann die erhaltenen Gewichte der Akku-Pack-Typen und die Gesamtliter an Kraftstoff zusammen. Der Wert darf die 333 nicht übersteigen.</w:t>
      </w:r>
    </w:p>
    <w:p w:rsidR="001F5768" w:rsidRDefault="00AB4EF1">
      <w:pPr>
        <w:rPr>
          <w:sz w:val="20"/>
        </w:rPr>
      </w:pPr>
      <w:r>
        <w:rPr>
          <w:sz w:val="20"/>
        </w:rPr>
        <w:t>Wird diese Menge überschritten, können die Freistellungen nicht genutzt werden. Somit wäre ein Gefahrguttransport unter Beachtung aller gefahrgutrechtlichen Anforderungen durchzuführen</w:t>
      </w:r>
      <w:r w:rsidR="009A43BA">
        <w:rPr>
          <w:sz w:val="20"/>
        </w:rPr>
        <w:t xml:space="preserve"> (insbesondere Gefahrgutführerschein und Fahrzeugausrüstung)</w:t>
      </w:r>
      <w:r>
        <w:rPr>
          <w:sz w:val="20"/>
        </w:rPr>
        <w:t>.</w:t>
      </w:r>
    </w:p>
    <w:p w:rsidR="00AB4EF1" w:rsidRDefault="009A43BA">
      <w:pPr>
        <w:rPr>
          <w:sz w:val="20"/>
        </w:rPr>
      </w:pPr>
      <w:r>
        <w:rPr>
          <w:sz w:val="20"/>
        </w:rPr>
        <w:t xml:space="preserve">Um die Freistellung weiter zu nutzen, müssen Sie entweder Kraftstoff oder Akku-Packs oder beides reduzieren, bis Sie einen Wert von maximal 333 erhalten. </w:t>
      </w:r>
    </w:p>
    <w:p w:rsidR="009A43BA" w:rsidRDefault="009A43BA">
      <w:pPr>
        <w:rPr>
          <w:b/>
          <w:sz w:val="20"/>
        </w:rPr>
      </w:pPr>
    </w:p>
    <w:p w:rsidR="00AB4EF1" w:rsidRPr="009A43BA" w:rsidRDefault="009A43BA">
      <w:pPr>
        <w:rPr>
          <w:b/>
          <w:sz w:val="20"/>
        </w:rPr>
      </w:pPr>
      <w:r w:rsidRPr="009A43BA">
        <w:rPr>
          <w:b/>
          <w:sz w:val="20"/>
        </w:rPr>
        <w:t>Weitere Anforderungen</w:t>
      </w:r>
    </w:p>
    <w:p w:rsidR="009A43BA" w:rsidRDefault="009A43BA" w:rsidP="009A43BA">
      <w:pPr>
        <w:pStyle w:val="Listenabsatz"/>
        <w:numPr>
          <w:ilvl w:val="0"/>
          <w:numId w:val="2"/>
        </w:numPr>
        <w:rPr>
          <w:sz w:val="20"/>
        </w:rPr>
      </w:pPr>
      <w:r>
        <w:rPr>
          <w:sz w:val="20"/>
        </w:rPr>
        <w:t>Sie dürfen weder Akku-Packs noch Kraftstoffe an Dritte</w:t>
      </w:r>
      <w:r w:rsidR="00244A7E">
        <w:rPr>
          <w:sz w:val="20"/>
        </w:rPr>
        <w:t xml:space="preserve"> zur Beförderung </w:t>
      </w:r>
      <w:r>
        <w:rPr>
          <w:sz w:val="20"/>
        </w:rPr>
        <w:t>weitergeben.</w:t>
      </w:r>
    </w:p>
    <w:p w:rsidR="00911ECD" w:rsidRDefault="00911ECD" w:rsidP="00911ECD">
      <w:pPr>
        <w:pStyle w:val="Listenabsatz"/>
        <w:numPr>
          <w:ilvl w:val="0"/>
          <w:numId w:val="2"/>
        </w:numPr>
        <w:rPr>
          <w:sz w:val="20"/>
        </w:rPr>
      </w:pPr>
      <w:r>
        <w:rPr>
          <w:sz w:val="20"/>
        </w:rPr>
        <w:t>Bei der Beförderung ist mindestens ein Feuerlöscher (Brandklassen A, B, C) mit mindestens 2 kg Fassungsvermögen witterungsgeschützt und leicht erreichbar im Fahrzeug mitzuführen. (Nicht neben dem Gefahrgut!). Er muss ordnungsgemäß plombiert und noch geprüft sein (Prüfdatum beachten!</w:t>
      </w:r>
      <w:r w:rsidR="00B31842">
        <w:rPr>
          <w:sz w:val="20"/>
        </w:rPr>
        <w:t xml:space="preserve"> In Deutschland Prüfung alle 2 Jahre</w:t>
      </w:r>
      <w:r>
        <w:rPr>
          <w:sz w:val="20"/>
        </w:rPr>
        <w:t>).</w:t>
      </w:r>
    </w:p>
    <w:p w:rsidR="009A43BA" w:rsidRDefault="009A43BA" w:rsidP="009A43BA">
      <w:pPr>
        <w:pStyle w:val="Listenabsatz"/>
        <w:numPr>
          <w:ilvl w:val="0"/>
          <w:numId w:val="2"/>
        </w:numPr>
        <w:rPr>
          <w:sz w:val="20"/>
        </w:rPr>
      </w:pPr>
      <w:r>
        <w:rPr>
          <w:sz w:val="20"/>
        </w:rPr>
        <w:t>Alle Kraftstoffbehälter müssen dicht verschlossen und unbeschädigt sein.</w:t>
      </w:r>
    </w:p>
    <w:p w:rsidR="00DE244D" w:rsidRDefault="00DE244D" w:rsidP="00DE244D">
      <w:pPr>
        <w:pStyle w:val="Listenabsatz"/>
        <w:numPr>
          <w:ilvl w:val="0"/>
          <w:numId w:val="2"/>
        </w:numPr>
        <w:rPr>
          <w:sz w:val="20"/>
        </w:rPr>
      </w:pPr>
      <w:r>
        <w:rPr>
          <w:sz w:val="20"/>
        </w:rPr>
        <w:t>Vermeiden Sie Sonneneinstrahlung auf die Kraftstoffkanister.</w:t>
      </w:r>
    </w:p>
    <w:p w:rsidR="00DE244D" w:rsidRPr="00DE244D" w:rsidRDefault="00DE244D" w:rsidP="00DE244D">
      <w:pPr>
        <w:pStyle w:val="Listenabsatz"/>
        <w:numPr>
          <w:ilvl w:val="0"/>
          <w:numId w:val="2"/>
        </w:numPr>
        <w:rPr>
          <w:sz w:val="20"/>
        </w:rPr>
      </w:pPr>
      <w:r>
        <w:rPr>
          <w:sz w:val="20"/>
        </w:rPr>
        <w:t>Halten Sie die Temperatur an heißen Sommertagen im Auto unter 30 °C, um ein Bersten der Kraftstoffkanister und eine Undichtigkeit der Verschlüsse mit Dampfaustritt zu vermeiden.</w:t>
      </w:r>
    </w:p>
    <w:p w:rsidR="009A43BA" w:rsidRDefault="009A43BA" w:rsidP="009A43BA">
      <w:pPr>
        <w:pStyle w:val="Listenabsatz"/>
        <w:numPr>
          <w:ilvl w:val="0"/>
          <w:numId w:val="2"/>
        </w:numPr>
        <w:rPr>
          <w:sz w:val="20"/>
        </w:rPr>
      </w:pPr>
      <w:r>
        <w:rPr>
          <w:sz w:val="20"/>
        </w:rPr>
        <w:t>Die Akku-Packs sind</w:t>
      </w:r>
      <w:r w:rsidR="00385934">
        <w:rPr>
          <w:sz w:val="20"/>
        </w:rPr>
        <w:t xml:space="preserve"> in der Verpackung zu befördern.</w:t>
      </w:r>
    </w:p>
    <w:p w:rsidR="00DE244D" w:rsidRDefault="00DE244D" w:rsidP="009A43BA">
      <w:pPr>
        <w:pStyle w:val="Listenabsatz"/>
        <w:numPr>
          <w:ilvl w:val="0"/>
          <w:numId w:val="2"/>
        </w:numPr>
        <w:rPr>
          <w:sz w:val="20"/>
        </w:rPr>
      </w:pPr>
      <w:r>
        <w:rPr>
          <w:sz w:val="20"/>
        </w:rPr>
        <w:t>Die Akku-Packs sollten gegen Bewegungen in der Verpackung gesichert sein.</w:t>
      </w:r>
    </w:p>
    <w:p w:rsidR="00DE244D" w:rsidRDefault="00DE244D" w:rsidP="009A43BA">
      <w:pPr>
        <w:pStyle w:val="Listenabsatz"/>
        <w:numPr>
          <w:ilvl w:val="0"/>
          <w:numId w:val="2"/>
        </w:numPr>
        <w:rPr>
          <w:sz w:val="20"/>
        </w:rPr>
      </w:pPr>
      <w:r>
        <w:rPr>
          <w:sz w:val="20"/>
        </w:rPr>
        <w:lastRenderedPageBreak/>
        <w:t>Es dürfen keine metallischen Teile mit den Akku-Packs verpackt werden (Kurzschlussgefahr – Erhitzung des Akku-Packs möglich).</w:t>
      </w:r>
    </w:p>
    <w:p w:rsidR="00385934" w:rsidRDefault="00385934" w:rsidP="009A43BA">
      <w:pPr>
        <w:pStyle w:val="Listenabsatz"/>
        <w:numPr>
          <w:ilvl w:val="0"/>
          <w:numId w:val="2"/>
        </w:numPr>
        <w:rPr>
          <w:sz w:val="20"/>
        </w:rPr>
      </w:pPr>
      <w:r>
        <w:rPr>
          <w:sz w:val="20"/>
        </w:rPr>
        <w:t>Evtl. ausgetretener Kraftstoff ist aufzunehmen und ordnungsgemäß zu entsorgen. Das Fahrzeug muss vor der Weiterfahrt gut durchgelüftet werden. (Dämpfe können Benommenheit und Schläfrigkeit hervorrufen.</w:t>
      </w:r>
      <w:r w:rsidR="00DE244D">
        <w:rPr>
          <w:sz w:val="20"/>
        </w:rPr>
        <w:t xml:space="preserve"> Sie können dadurch in Ihrer Fahrtüchtigkeit beeinträchtigt werden.</w:t>
      </w:r>
      <w:r w:rsidR="00B31842">
        <w:rPr>
          <w:sz w:val="20"/>
        </w:rPr>
        <w:t xml:space="preserve"> Es wird empfohlen, geeignetes Aussaugmittel und einen verschließbaren Behälter für das verwendete Aussaugmittel mitzuführen.</w:t>
      </w:r>
      <w:r>
        <w:rPr>
          <w:sz w:val="20"/>
        </w:rPr>
        <w:t>)</w:t>
      </w:r>
    </w:p>
    <w:p w:rsidR="005A08EF" w:rsidRDefault="005A08EF" w:rsidP="009A43BA">
      <w:pPr>
        <w:pStyle w:val="Listenabsatz"/>
        <w:numPr>
          <w:ilvl w:val="0"/>
          <w:numId w:val="2"/>
        </w:numPr>
        <w:rPr>
          <w:sz w:val="20"/>
        </w:rPr>
      </w:pPr>
      <w:r>
        <w:rPr>
          <w:sz w:val="20"/>
        </w:rPr>
        <w:t>Geräte (Sägen etc.) sind so zu verstauen oder zu befestigen, dass sie nicht anderes Ladegut beschädigen können.</w:t>
      </w:r>
    </w:p>
    <w:p w:rsidR="00911ECD" w:rsidRDefault="00911ECD" w:rsidP="00385934">
      <w:pPr>
        <w:rPr>
          <w:sz w:val="20"/>
        </w:rPr>
      </w:pPr>
    </w:p>
    <w:p w:rsidR="00385934" w:rsidRPr="00385934" w:rsidRDefault="00385934" w:rsidP="00385934">
      <w:pPr>
        <w:rPr>
          <w:b/>
          <w:sz w:val="20"/>
        </w:rPr>
      </w:pPr>
      <w:r w:rsidRPr="00385934">
        <w:rPr>
          <w:b/>
          <w:sz w:val="20"/>
        </w:rPr>
        <w:t>Ladungssicherung</w:t>
      </w:r>
    </w:p>
    <w:p w:rsidR="00385934" w:rsidRDefault="00385934" w:rsidP="00385934">
      <w:pPr>
        <w:rPr>
          <w:sz w:val="20"/>
        </w:rPr>
      </w:pPr>
      <w:r>
        <w:rPr>
          <w:sz w:val="20"/>
        </w:rPr>
        <w:t>Auch bei genauer Beachtung der Gefahrgutvorschriften können Sie immer auch wegen fehlender oder unzureichender Ladungssicherung belangt werden (Häufigster Beanstandungsgrund bei Kontrollen).</w:t>
      </w:r>
    </w:p>
    <w:p w:rsidR="00385934" w:rsidRDefault="00385934" w:rsidP="00385934">
      <w:pPr>
        <w:pStyle w:val="Listenabsatz"/>
        <w:numPr>
          <w:ilvl w:val="0"/>
          <w:numId w:val="3"/>
        </w:numPr>
        <w:rPr>
          <w:sz w:val="20"/>
        </w:rPr>
      </w:pPr>
      <w:r>
        <w:rPr>
          <w:sz w:val="20"/>
        </w:rPr>
        <w:t>Verstauen Sie die Verpackungen</w:t>
      </w:r>
      <w:r w:rsidR="005A08EF">
        <w:rPr>
          <w:sz w:val="20"/>
        </w:rPr>
        <w:t xml:space="preserve"> (Kartons und Kanister)</w:t>
      </w:r>
      <w:r>
        <w:rPr>
          <w:sz w:val="20"/>
        </w:rPr>
        <w:t xml:space="preserve"> so, dass sie möglichst nicht verrutschen, umfallen oder gar beschädigt werden können.</w:t>
      </w:r>
      <w:r w:rsidR="00B31842">
        <w:rPr>
          <w:sz w:val="20"/>
        </w:rPr>
        <w:t xml:space="preserve"> Dies gilt auch für den Fall, in dem Sie schnell Abbremsen müssen.</w:t>
      </w:r>
    </w:p>
    <w:p w:rsidR="00385934" w:rsidRDefault="00385934" w:rsidP="00385934">
      <w:pPr>
        <w:pStyle w:val="Listenabsatz"/>
        <w:numPr>
          <w:ilvl w:val="0"/>
          <w:numId w:val="3"/>
        </w:numPr>
        <w:rPr>
          <w:sz w:val="20"/>
        </w:rPr>
      </w:pPr>
      <w:r>
        <w:rPr>
          <w:sz w:val="20"/>
        </w:rPr>
        <w:t>Befestigen Sie einzelne Kanister oder Verpackungen mit Packhilfsmitteln, wie Bändern, Gurten, etc.</w:t>
      </w:r>
    </w:p>
    <w:p w:rsidR="00385934" w:rsidRDefault="00385934" w:rsidP="00385934">
      <w:pPr>
        <w:pStyle w:val="Listenabsatz"/>
        <w:numPr>
          <w:ilvl w:val="0"/>
          <w:numId w:val="3"/>
        </w:numPr>
        <w:rPr>
          <w:sz w:val="20"/>
        </w:rPr>
      </w:pPr>
      <w:r>
        <w:rPr>
          <w:sz w:val="20"/>
        </w:rPr>
        <w:t>Je weniger sich die Verpackungen bewegen können, umso besser ist die Ladungssicherung.</w:t>
      </w:r>
    </w:p>
    <w:p w:rsidR="00385934" w:rsidRDefault="00385934" w:rsidP="00385934">
      <w:pPr>
        <w:pStyle w:val="Listenabsatz"/>
        <w:numPr>
          <w:ilvl w:val="0"/>
          <w:numId w:val="3"/>
        </w:numPr>
        <w:rPr>
          <w:sz w:val="20"/>
        </w:rPr>
      </w:pPr>
      <w:r>
        <w:rPr>
          <w:sz w:val="20"/>
        </w:rPr>
        <w:t>Zur Ladungssicherung gehört auch, dass die Kanister dicht geschlossen sind.</w:t>
      </w:r>
    </w:p>
    <w:p w:rsidR="005A08EF" w:rsidRDefault="005A08EF" w:rsidP="00385934">
      <w:pPr>
        <w:pStyle w:val="Listenabsatz"/>
        <w:numPr>
          <w:ilvl w:val="0"/>
          <w:numId w:val="3"/>
        </w:numPr>
        <w:rPr>
          <w:sz w:val="20"/>
        </w:rPr>
      </w:pPr>
      <w:r>
        <w:rPr>
          <w:sz w:val="20"/>
        </w:rPr>
        <w:t>Befördern Sie keine Akku-Packs unverpackt. Es besteht die Gefahr eines Kurzschlusses.</w:t>
      </w:r>
    </w:p>
    <w:p w:rsidR="005A08EF" w:rsidRPr="00385934" w:rsidRDefault="005A08EF" w:rsidP="00385934">
      <w:pPr>
        <w:pStyle w:val="Listenabsatz"/>
        <w:numPr>
          <w:ilvl w:val="0"/>
          <w:numId w:val="3"/>
        </w:numPr>
        <w:rPr>
          <w:sz w:val="20"/>
        </w:rPr>
      </w:pPr>
      <w:r>
        <w:rPr>
          <w:sz w:val="20"/>
        </w:rPr>
        <w:t>Beachten Sie, dass alle losen Gegenstände beim starken Bremsen oder im Falle eines Unfalles zu „Wurfgeschossen“ mit erheblichem Verletzungsrisiko werden können.</w:t>
      </w:r>
    </w:p>
    <w:p w:rsidR="009A43BA" w:rsidRDefault="009A43BA">
      <w:pPr>
        <w:rPr>
          <w:sz w:val="20"/>
        </w:rPr>
      </w:pPr>
    </w:p>
    <w:p w:rsidR="00EC3059" w:rsidRDefault="00EC3059">
      <w:pPr>
        <w:rPr>
          <w:sz w:val="20"/>
        </w:rPr>
      </w:pPr>
      <w:r>
        <w:rPr>
          <w:sz w:val="20"/>
        </w:rPr>
        <w:t>Bitte beachten Sie in eigenem Interesse und im Interesse Ihres Arbeitgebers, der Firma STIHL, die beschriebenen Anforderungen. Wir wünschen Ihnen eine gute und unfallfreie Fahrt.</w:t>
      </w:r>
    </w:p>
    <w:p w:rsidR="00AB4EF1" w:rsidRDefault="00AB4EF1">
      <w:pPr>
        <w:rPr>
          <w:sz w:val="20"/>
        </w:rPr>
      </w:pPr>
    </w:p>
    <w:p w:rsidR="001F5768" w:rsidRDefault="00395032">
      <w:pPr>
        <w:rPr>
          <w:sz w:val="20"/>
        </w:rPr>
      </w:pPr>
      <w:r w:rsidRPr="00395032">
        <w:rPr>
          <w:sz w:val="20"/>
        </w:rPr>
        <w:t xml:space="preserve">Diese Information entstand unter der Mitwirkung der Umweltkanzlei Dr. Rhein Beratungs- und Prüfgesellschaft mbH, Sarstedt – </w:t>
      </w:r>
      <w:hyperlink r:id="rId11" w:history="1">
        <w:r w:rsidRPr="00DC6A9D">
          <w:rPr>
            <w:rStyle w:val="Hyperlink"/>
            <w:sz w:val="20"/>
          </w:rPr>
          <w:t>www.umweltkanzlei.de</w:t>
        </w:r>
      </w:hyperlink>
      <w:r>
        <w:rPr>
          <w:sz w:val="20"/>
        </w:rPr>
        <w:t xml:space="preserve">. </w:t>
      </w:r>
    </w:p>
    <w:p w:rsidR="00B31842" w:rsidRDefault="00B31842">
      <w:pPr>
        <w:rPr>
          <w:sz w:val="20"/>
        </w:rPr>
      </w:pPr>
    </w:p>
    <w:sectPr w:rsidR="00B31842">
      <w:headerReference w:type="even" r:id="rId12"/>
      <w:headerReference w:type="default" r:id="rId13"/>
      <w:footerReference w:type="default" r:id="rId14"/>
      <w:head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A5F" w:rsidRDefault="00FE2A5F" w:rsidP="00FE2A5F">
      <w:pPr>
        <w:spacing w:after="0" w:line="240" w:lineRule="auto"/>
      </w:pPr>
      <w:r>
        <w:separator/>
      </w:r>
    </w:p>
  </w:endnote>
  <w:endnote w:type="continuationSeparator" w:id="0">
    <w:p w:rsidR="00FE2A5F" w:rsidRDefault="00FE2A5F" w:rsidP="00FE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32" w:rsidRPr="0030450B" w:rsidRDefault="0030450B" w:rsidP="0030450B">
    <w:pPr>
      <w:pStyle w:val="Fuzeile"/>
      <w:pBdr>
        <w:top w:val="single" w:sz="4" w:space="1" w:color="auto"/>
      </w:pBdr>
      <w:tabs>
        <w:tab w:val="clear" w:pos="9072"/>
        <w:tab w:val="right" w:pos="9000"/>
      </w:tabs>
      <w:spacing w:after="120" w:line="288" w:lineRule="auto"/>
      <w:rPr>
        <w:sz w:val="20"/>
      </w:rPr>
    </w:pPr>
    <w:r w:rsidRPr="00E126F3">
      <w:rPr>
        <w:sz w:val="20"/>
      </w:rPr>
      <w:t>Stand</w:t>
    </w:r>
    <w:r>
      <w:rPr>
        <w:sz w:val="20"/>
      </w:rPr>
      <w:t>:</w:t>
    </w:r>
    <w:r w:rsidRPr="00E126F3">
      <w:rPr>
        <w:sz w:val="20"/>
      </w:rPr>
      <w:t xml:space="preserve"> März 201</w:t>
    </w:r>
    <w:r>
      <w:rPr>
        <w:sz w:val="20"/>
      </w:rPr>
      <w:t>8</w:t>
    </w:r>
    <w:r w:rsidRPr="00E126F3">
      <w:rPr>
        <w:sz w:val="20"/>
      </w:rPr>
      <w:tab/>
    </w:r>
    <w:r w:rsidRPr="00E126F3">
      <w:rPr>
        <w:sz w:val="20"/>
      </w:rPr>
      <w:tab/>
      <w:t xml:space="preserve">Seite </w:t>
    </w:r>
    <w:r w:rsidRPr="00E126F3">
      <w:rPr>
        <w:sz w:val="20"/>
      </w:rPr>
      <w:fldChar w:fldCharType="begin"/>
    </w:r>
    <w:r w:rsidRPr="00E126F3">
      <w:rPr>
        <w:sz w:val="20"/>
      </w:rPr>
      <w:instrText xml:space="preserve"> PAGE </w:instrText>
    </w:r>
    <w:r w:rsidRPr="00E126F3">
      <w:rPr>
        <w:sz w:val="20"/>
      </w:rPr>
      <w:fldChar w:fldCharType="separate"/>
    </w:r>
    <w:r w:rsidR="00051834">
      <w:rPr>
        <w:noProof/>
        <w:sz w:val="20"/>
      </w:rPr>
      <w:t>1</w:t>
    </w:r>
    <w:r w:rsidRPr="00E126F3">
      <w:rPr>
        <w:sz w:val="20"/>
      </w:rPr>
      <w:fldChar w:fldCharType="end"/>
    </w:r>
    <w:r w:rsidRPr="00E126F3">
      <w:rPr>
        <w:sz w:val="20"/>
      </w:rPr>
      <w:t xml:space="preserve"> von </w:t>
    </w:r>
    <w:r w:rsidRPr="00E126F3">
      <w:rPr>
        <w:sz w:val="20"/>
      </w:rPr>
      <w:fldChar w:fldCharType="begin"/>
    </w:r>
    <w:r w:rsidRPr="00E126F3">
      <w:rPr>
        <w:sz w:val="20"/>
      </w:rPr>
      <w:instrText xml:space="preserve"> NUMPAGES </w:instrText>
    </w:r>
    <w:r w:rsidRPr="00E126F3">
      <w:rPr>
        <w:sz w:val="20"/>
      </w:rPr>
      <w:fldChar w:fldCharType="separate"/>
    </w:r>
    <w:r w:rsidR="00051834">
      <w:rPr>
        <w:noProof/>
        <w:sz w:val="20"/>
      </w:rPr>
      <w:t>4</w:t>
    </w:r>
    <w:r w:rsidRPr="00E126F3">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A5F" w:rsidRDefault="00FE2A5F" w:rsidP="00FE2A5F">
      <w:pPr>
        <w:spacing w:after="0" w:line="240" w:lineRule="auto"/>
      </w:pPr>
      <w:r>
        <w:separator/>
      </w:r>
    </w:p>
  </w:footnote>
  <w:footnote w:type="continuationSeparator" w:id="0">
    <w:p w:rsidR="00FE2A5F" w:rsidRDefault="00FE2A5F" w:rsidP="00FE2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32" w:rsidRDefault="003950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A5F" w:rsidRPr="008D2C9C" w:rsidRDefault="00FE2A5F" w:rsidP="00FE2A5F">
    <w:pPr>
      <w:pStyle w:val="Kopfzeile"/>
      <w:pBdr>
        <w:bottom w:val="single" w:sz="4" w:space="1" w:color="auto"/>
      </w:pBdr>
      <w:rPr>
        <w:sz w:val="20"/>
      </w:rPr>
    </w:pPr>
    <w:r>
      <w:rPr>
        <w:sz w:val="20"/>
      </w:rPr>
      <w:t>Merkblatt für den Außendienst für die Beförderung von Gefahrstoffen</w:t>
    </w:r>
    <w:r w:rsidR="000D01C6">
      <w:rPr>
        <w:sz w:val="20"/>
      </w:rPr>
      <w:t>/-</w:t>
    </w:r>
    <w:r>
      <w:rPr>
        <w:sz w:val="20"/>
      </w:rPr>
      <w:t>gut</w:t>
    </w:r>
    <w:r w:rsidR="000D01C6">
      <w:rPr>
        <w:sz w:val="20"/>
      </w:rPr>
      <w:t xml:space="preserve">        </w:t>
    </w:r>
    <w:r>
      <w:rPr>
        <w:sz w:val="20"/>
      </w:rPr>
      <w:tab/>
    </w:r>
    <w:r>
      <w:object w:dxaOrig="1307" w:dyaOrig="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4.5pt" o:ole="">
          <v:imagedata r:id="rId1" o:title=""/>
        </v:shape>
        <o:OLEObject Type="Embed" ProgID="Word.Picture.8" ShapeID="_x0000_i1025" DrawAspect="Content" ObjectID="_1583148063" r:id="rId2"/>
      </w:object>
    </w:r>
  </w:p>
  <w:p w:rsidR="00FE2A5F" w:rsidRDefault="00FE2A5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32" w:rsidRDefault="003950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3691"/>
    <w:multiLevelType w:val="hybridMultilevel"/>
    <w:tmpl w:val="CFF0B380"/>
    <w:lvl w:ilvl="0" w:tplc="04070005">
      <w:start w:val="1"/>
      <w:numFmt w:val="bullet"/>
      <w:lvlText w:val=""/>
      <w:lvlJc w:val="left"/>
      <w:pPr>
        <w:tabs>
          <w:tab w:val="num" w:pos="720"/>
        </w:tabs>
        <w:ind w:left="720" w:hanging="360"/>
      </w:pPr>
      <w:rPr>
        <w:rFonts w:ascii="Wingdings" w:hAnsi="Wingdings" w:hint="default"/>
      </w:rPr>
    </w:lvl>
    <w:lvl w:ilvl="1" w:tplc="B8121AA4">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A350754"/>
    <w:multiLevelType w:val="hybridMultilevel"/>
    <w:tmpl w:val="B240D9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6265CDC"/>
    <w:multiLevelType w:val="hybridMultilevel"/>
    <w:tmpl w:val="594AC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5F"/>
    <w:rsid w:val="000005D5"/>
    <w:rsid w:val="00001618"/>
    <w:rsid w:val="00002B4F"/>
    <w:rsid w:val="00006C98"/>
    <w:rsid w:val="00007B9F"/>
    <w:rsid w:val="00010492"/>
    <w:rsid w:val="00010795"/>
    <w:rsid w:val="00017147"/>
    <w:rsid w:val="00017D3B"/>
    <w:rsid w:val="00022CAE"/>
    <w:rsid w:val="0002360F"/>
    <w:rsid w:val="0002378C"/>
    <w:rsid w:val="00023866"/>
    <w:rsid w:val="0002591D"/>
    <w:rsid w:val="00031EFC"/>
    <w:rsid w:val="00033A58"/>
    <w:rsid w:val="0003480D"/>
    <w:rsid w:val="000377F1"/>
    <w:rsid w:val="00037E67"/>
    <w:rsid w:val="00043595"/>
    <w:rsid w:val="000440AA"/>
    <w:rsid w:val="0004694A"/>
    <w:rsid w:val="00046D3B"/>
    <w:rsid w:val="00047DB4"/>
    <w:rsid w:val="000505CE"/>
    <w:rsid w:val="000507B9"/>
    <w:rsid w:val="00051834"/>
    <w:rsid w:val="000556B4"/>
    <w:rsid w:val="00060679"/>
    <w:rsid w:val="00062E72"/>
    <w:rsid w:val="00062FB9"/>
    <w:rsid w:val="000711F0"/>
    <w:rsid w:val="0007165B"/>
    <w:rsid w:val="000735CF"/>
    <w:rsid w:val="00073E7F"/>
    <w:rsid w:val="000759DC"/>
    <w:rsid w:val="000772FF"/>
    <w:rsid w:val="000809A5"/>
    <w:rsid w:val="00085166"/>
    <w:rsid w:val="0008694D"/>
    <w:rsid w:val="0008758A"/>
    <w:rsid w:val="0009226B"/>
    <w:rsid w:val="0009289F"/>
    <w:rsid w:val="00093422"/>
    <w:rsid w:val="00094A19"/>
    <w:rsid w:val="000A2B23"/>
    <w:rsid w:val="000A66A7"/>
    <w:rsid w:val="000A6C88"/>
    <w:rsid w:val="000A7B68"/>
    <w:rsid w:val="000A7D05"/>
    <w:rsid w:val="000B0393"/>
    <w:rsid w:val="000B1DA5"/>
    <w:rsid w:val="000B2B18"/>
    <w:rsid w:val="000B2B61"/>
    <w:rsid w:val="000B32B8"/>
    <w:rsid w:val="000B7E69"/>
    <w:rsid w:val="000C0B74"/>
    <w:rsid w:val="000C2B9E"/>
    <w:rsid w:val="000C3CDF"/>
    <w:rsid w:val="000C4BD4"/>
    <w:rsid w:val="000C60D4"/>
    <w:rsid w:val="000D01C6"/>
    <w:rsid w:val="000D0AC4"/>
    <w:rsid w:val="000D5691"/>
    <w:rsid w:val="000D6951"/>
    <w:rsid w:val="000D764C"/>
    <w:rsid w:val="000E24CF"/>
    <w:rsid w:val="000E2DBA"/>
    <w:rsid w:val="000E334A"/>
    <w:rsid w:val="000E3690"/>
    <w:rsid w:val="000E55AC"/>
    <w:rsid w:val="000F3D58"/>
    <w:rsid w:val="000F4C9E"/>
    <w:rsid w:val="000F7FB8"/>
    <w:rsid w:val="00102AE1"/>
    <w:rsid w:val="00102E25"/>
    <w:rsid w:val="001043B0"/>
    <w:rsid w:val="00106EC0"/>
    <w:rsid w:val="001073F2"/>
    <w:rsid w:val="00107681"/>
    <w:rsid w:val="00110C83"/>
    <w:rsid w:val="00111AD8"/>
    <w:rsid w:val="001122FA"/>
    <w:rsid w:val="001140AF"/>
    <w:rsid w:val="00114518"/>
    <w:rsid w:val="00117654"/>
    <w:rsid w:val="00122077"/>
    <w:rsid w:val="00122DAB"/>
    <w:rsid w:val="00123487"/>
    <w:rsid w:val="00123E55"/>
    <w:rsid w:val="00126FFF"/>
    <w:rsid w:val="00134BD2"/>
    <w:rsid w:val="00140633"/>
    <w:rsid w:val="00141D8E"/>
    <w:rsid w:val="00142B4D"/>
    <w:rsid w:val="0014316A"/>
    <w:rsid w:val="00144354"/>
    <w:rsid w:val="0014591D"/>
    <w:rsid w:val="00146205"/>
    <w:rsid w:val="00146A4A"/>
    <w:rsid w:val="0014700C"/>
    <w:rsid w:val="001478F3"/>
    <w:rsid w:val="001515D3"/>
    <w:rsid w:val="00151897"/>
    <w:rsid w:val="00152CA2"/>
    <w:rsid w:val="00153879"/>
    <w:rsid w:val="00153CDE"/>
    <w:rsid w:val="00154100"/>
    <w:rsid w:val="001558D6"/>
    <w:rsid w:val="00157E45"/>
    <w:rsid w:val="00163BAA"/>
    <w:rsid w:val="00170D23"/>
    <w:rsid w:val="00171C05"/>
    <w:rsid w:val="001725FA"/>
    <w:rsid w:val="0017380B"/>
    <w:rsid w:val="00174754"/>
    <w:rsid w:val="00174F94"/>
    <w:rsid w:val="00177455"/>
    <w:rsid w:val="00177AB1"/>
    <w:rsid w:val="00177AC7"/>
    <w:rsid w:val="0018031A"/>
    <w:rsid w:val="0018070D"/>
    <w:rsid w:val="0018703D"/>
    <w:rsid w:val="00187484"/>
    <w:rsid w:val="00187775"/>
    <w:rsid w:val="001910D6"/>
    <w:rsid w:val="00192C4E"/>
    <w:rsid w:val="00192CC9"/>
    <w:rsid w:val="00192FC2"/>
    <w:rsid w:val="0019325C"/>
    <w:rsid w:val="00197006"/>
    <w:rsid w:val="001A1383"/>
    <w:rsid w:val="001A3731"/>
    <w:rsid w:val="001A3E5B"/>
    <w:rsid w:val="001B0351"/>
    <w:rsid w:val="001B0563"/>
    <w:rsid w:val="001B074B"/>
    <w:rsid w:val="001B0BF4"/>
    <w:rsid w:val="001B2B49"/>
    <w:rsid w:val="001B2F6D"/>
    <w:rsid w:val="001B5245"/>
    <w:rsid w:val="001B7697"/>
    <w:rsid w:val="001C1679"/>
    <w:rsid w:val="001C3352"/>
    <w:rsid w:val="001C443B"/>
    <w:rsid w:val="001C718A"/>
    <w:rsid w:val="001C7CF2"/>
    <w:rsid w:val="001D3CB1"/>
    <w:rsid w:val="001D3F3B"/>
    <w:rsid w:val="001D575A"/>
    <w:rsid w:val="001D5DB9"/>
    <w:rsid w:val="001D7733"/>
    <w:rsid w:val="001E14B2"/>
    <w:rsid w:val="001E1694"/>
    <w:rsid w:val="001E22E6"/>
    <w:rsid w:val="001E5386"/>
    <w:rsid w:val="001E555D"/>
    <w:rsid w:val="001E7829"/>
    <w:rsid w:val="001E7D35"/>
    <w:rsid w:val="001F2F87"/>
    <w:rsid w:val="001F4E80"/>
    <w:rsid w:val="001F5768"/>
    <w:rsid w:val="002022E9"/>
    <w:rsid w:val="0020234C"/>
    <w:rsid w:val="00202FAD"/>
    <w:rsid w:val="0020543C"/>
    <w:rsid w:val="002061B6"/>
    <w:rsid w:val="002067DD"/>
    <w:rsid w:val="002137F9"/>
    <w:rsid w:val="00214F1F"/>
    <w:rsid w:val="002152A3"/>
    <w:rsid w:val="00215409"/>
    <w:rsid w:val="0021542D"/>
    <w:rsid w:val="00216335"/>
    <w:rsid w:val="00217AB2"/>
    <w:rsid w:val="00223643"/>
    <w:rsid w:val="00225AD3"/>
    <w:rsid w:val="00230521"/>
    <w:rsid w:val="00233F4C"/>
    <w:rsid w:val="00237655"/>
    <w:rsid w:val="0024307D"/>
    <w:rsid w:val="00244A7E"/>
    <w:rsid w:val="00246106"/>
    <w:rsid w:val="002474C4"/>
    <w:rsid w:val="0024792F"/>
    <w:rsid w:val="0025470E"/>
    <w:rsid w:val="00254936"/>
    <w:rsid w:val="00255DE3"/>
    <w:rsid w:val="00260404"/>
    <w:rsid w:val="00260EF0"/>
    <w:rsid w:val="0026526F"/>
    <w:rsid w:val="00265E69"/>
    <w:rsid w:val="00266295"/>
    <w:rsid w:val="00270D60"/>
    <w:rsid w:val="00272826"/>
    <w:rsid w:val="00277FF0"/>
    <w:rsid w:val="00284312"/>
    <w:rsid w:val="00284462"/>
    <w:rsid w:val="00286B9D"/>
    <w:rsid w:val="002947E0"/>
    <w:rsid w:val="00294C9F"/>
    <w:rsid w:val="0029592E"/>
    <w:rsid w:val="00295F0C"/>
    <w:rsid w:val="002A2704"/>
    <w:rsid w:val="002A3748"/>
    <w:rsid w:val="002A4498"/>
    <w:rsid w:val="002A4D5D"/>
    <w:rsid w:val="002A6E09"/>
    <w:rsid w:val="002A7429"/>
    <w:rsid w:val="002A7E08"/>
    <w:rsid w:val="002B016B"/>
    <w:rsid w:val="002B2594"/>
    <w:rsid w:val="002B2BCD"/>
    <w:rsid w:val="002B39BD"/>
    <w:rsid w:val="002B4367"/>
    <w:rsid w:val="002C26F0"/>
    <w:rsid w:val="002C3F65"/>
    <w:rsid w:val="002C47FC"/>
    <w:rsid w:val="002C4F58"/>
    <w:rsid w:val="002C7BFD"/>
    <w:rsid w:val="002D06E3"/>
    <w:rsid w:val="002D269F"/>
    <w:rsid w:val="002D3984"/>
    <w:rsid w:val="002E03FD"/>
    <w:rsid w:val="002E05A8"/>
    <w:rsid w:val="002E1B07"/>
    <w:rsid w:val="002E3AB0"/>
    <w:rsid w:val="002E7649"/>
    <w:rsid w:val="002F050B"/>
    <w:rsid w:val="002F08ED"/>
    <w:rsid w:val="002F0DD9"/>
    <w:rsid w:val="002F117B"/>
    <w:rsid w:val="002F3352"/>
    <w:rsid w:val="002F39BA"/>
    <w:rsid w:val="002F44E1"/>
    <w:rsid w:val="002F7E69"/>
    <w:rsid w:val="00300648"/>
    <w:rsid w:val="00303E99"/>
    <w:rsid w:val="0030450B"/>
    <w:rsid w:val="00305322"/>
    <w:rsid w:val="00305F9E"/>
    <w:rsid w:val="00307FCE"/>
    <w:rsid w:val="003105B8"/>
    <w:rsid w:val="00310AE4"/>
    <w:rsid w:val="003132AA"/>
    <w:rsid w:val="00314550"/>
    <w:rsid w:val="003145F1"/>
    <w:rsid w:val="003214C8"/>
    <w:rsid w:val="00325CC8"/>
    <w:rsid w:val="00334E17"/>
    <w:rsid w:val="00334F90"/>
    <w:rsid w:val="00335B4D"/>
    <w:rsid w:val="00335C16"/>
    <w:rsid w:val="003375D8"/>
    <w:rsid w:val="00341DE4"/>
    <w:rsid w:val="00342ECB"/>
    <w:rsid w:val="003442E6"/>
    <w:rsid w:val="00344648"/>
    <w:rsid w:val="003477E9"/>
    <w:rsid w:val="00347F89"/>
    <w:rsid w:val="00350515"/>
    <w:rsid w:val="00351024"/>
    <w:rsid w:val="0035160F"/>
    <w:rsid w:val="0035162C"/>
    <w:rsid w:val="0035456A"/>
    <w:rsid w:val="00354F2B"/>
    <w:rsid w:val="003552D9"/>
    <w:rsid w:val="003566C6"/>
    <w:rsid w:val="00357935"/>
    <w:rsid w:val="00361CD4"/>
    <w:rsid w:val="003708C6"/>
    <w:rsid w:val="00374D8D"/>
    <w:rsid w:val="003824AF"/>
    <w:rsid w:val="003832AD"/>
    <w:rsid w:val="00383C78"/>
    <w:rsid w:val="00384D7F"/>
    <w:rsid w:val="00385934"/>
    <w:rsid w:val="003865F1"/>
    <w:rsid w:val="003878F7"/>
    <w:rsid w:val="0039208A"/>
    <w:rsid w:val="00395032"/>
    <w:rsid w:val="00395D91"/>
    <w:rsid w:val="00396F93"/>
    <w:rsid w:val="003A447F"/>
    <w:rsid w:val="003A7EF3"/>
    <w:rsid w:val="003B07E1"/>
    <w:rsid w:val="003B214E"/>
    <w:rsid w:val="003B503E"/>
    <w:rsid w:val="003B55F0"/>
    <w:rsid w:val="003B608B"/>
    <w:rsid w:val="003B61B5"/>
    <w:rsid w:val="003C093C"/>
    <w:rsid w:val="003C7C19"/>
    <w:rsid w:val="003D060D"/>
    <w:rsid w:val="003D47F8"/>
    <w:rsid w:val="003D7141"/>
    <w:rsid w:val="003D7A16"/>
    <w:rsid w:val="003D7DBB"/>
    <w:rsid w:val="003D7FED"/>
    <w:rsid w:val="003E016D"/>
    <w:rsid w:val="003E111E"/>
    <w:rsid w:val="003E2C58"/>
    <w:rsid w:val="003E30B6"/>
    <w:rsid w:val="003E406A"/>
    <w:rsid w:val="003E473F"/>
    <w:rsid w:val="003E5CD8"/>
    <w:rsid w:val="003E74B0"/>
    <w:rsid w:val="003E77F7"/>
    <w:rsid w:val="003F2466"/>
    <w:rsid w:val="003F5930"/>
    <w:rsid w:val="003F59C6"/>
    <w:rsid w:val="003F7847"/>
    <w:rsid w:val="004009B7"/>
    <w:rsid w:val="004029B5"/>
    <w:rsid w:val="004035CB"/>
    <w:rsid w:val="00405F74"/>
    <w:rsid w:val="00406A1A"/>
    <w:rsid w:val="00406F40"/>
    <w:rsid w:val="0041129A"/>
    <w:rsid w:val="004145EF"/>
    <w:rsid w:val="004147BB"/>
    <w:rsid w:val="00416F51"/>
    <w:rsid w:val="00417F9B"/>
    <w:rsid w:val="0042110D"/>
    <w:rsid w:val="00424BAA"/>
    <w:rsid w:val="0043077D"/>
    <w:rsid w:val="00434040"/>
    <w:rsid w:val="00434106"/>
    <w:rsid w:val="0043478E"/>
    <w:rsid w:val="00442B4F"/>
    <w:rsid w:val="00445086"/>
    <w:rsid w:val="0044666B"/>
    <w:rsid w:val="00450EA1"/>
    <w:rsid w:val="004513EB"/>
    <w:rsid w:val="00457372"/>
    <w:rsid w:val="00460001"/>
    <w:rsid w:val="00464B7F"/>
    <w:rsid w:val="004710A7"/>
    <w:rsid w:val="00472ADD"/>
    <w:rsid w:val="00472D7F"/>
    <w:rsid w:val="004734DF"/>
    <w:rsid w:val="004738BF"/>
    <w:rsid w:val="00476951"/>
    <w:rsid w:val="00480333"/>
    <w:rsid w:val="0048152E"/>
    <w:rsid w:val="00481759"/>
    <w:rsid w:val="00481E06"/>
    <w:rsid w:val="00483D17"/>
    <w:rsid w:val="00484FE4"/>
    <w:rsid w:val="004852B3"/>
    <w:rsid w:val="00491CC3"/>
    <w:rsid w:val="0049333F"/>
    <w:rsid w:val="004934E6"/>
    <w:rsid w:val="00493B54"/>
    <w:rsid w:val="00494F09"/>
    <w:rsid w:val="004954DF"/>
    <w:rsid w:val="00495F45"/>
    <w:rsid w:val="00496AE9"/>
    <w:rsid w:val="00496F14"/>
    <w:rsid w:val="004A28B2"/>
    <w:rsid w:val="004A2BD9"/>
    <w:rsid w:val="004A5D26"/>
    <w:rsid w:val="004A72D5"/>
    <w:rsid w:val="004B09D3"/>
    <w:rsid w:val="004B1C75"/>
    <w:rsid w:val="004B364E"/>
    <w:rsid w:val="004B53C4"/>
    <w:rsid w:val="004B673D"/>
    <w:rsid w:val="004C357E"/>
    <w:rsid w:val="004C4CEA"/>
    <w:rsid w:val="004C5E18"/>
    <w:rsid w:val="004C7275"/>
    <w:rsid w:val="004D0682"/>
    <w:rsid w:val="004D0B47"/>
    <w:rsid w:val="004D11CB"/>
    <w:rsid w:val="004D7063"/>
    <w:rsid w:val="004D7B21"/>
    <w:rsid w:val="004E0765"/>
    <w:rsid w:val="004E08A8"/>
    <w:rsid w:val="004E1EA9"/>
    <w:rsid w:val="004E2786"/>
    <w:rsid w:val="004E3808"/>
    <w:rsid w:val="004E3B38"/>
    <w:rsid w:val="004E6242"/>
    <w:rsid w:val="004F047C"/>
    <w:rsid w:val="004F455B"/>
    <w:rsid w:val="004F5580"/>
    <w:rsid w:val="004F65E6"/>
    <w:rsid w:val="004F6BC1"/>
    <w:rsid w:val="00502348"/>
    <w:rsid w:val="00502BA7"/>
    <w:rsid w:val="00502DD3"/>
    <w:rsid w:val="005046D7"/>
    <w:rsid w:val="0050673C"/>
    <w:rsid w:val="00507310"/>
    <w:rsid w:val="00507538"/>
    <w:rsid w:val="0050798A"/>
    <w:rsid w:val="00512B59"/>
    <w:rsid w:val="00514289"/>
    <w:rsid w:val="005145D5"/>
    <w:rsid w:val="00514799"/>
    <w:rsid w:val="00517296"/>
    <w:rsid w:val="00520208"/>
    <w:rsid w:val="00523E72"/>
    <w:rsid w:val="00525930"/>
    <w:rsid w:val="00527203"/>
    <w:rsid w:val="0053148D"/>
    <w:rsid w:val="0053259B"/>
    <w:rsid w:val="0053263C"/>
    <w:rsid w:val="0053280D"/>
    <w:rsid w:val="00532B9F"/>
    <w:rsid w:val="00532F7F"/>
    <w:rsid w:val="00533D90"/>
    <w:rsid w:val="00534117"/>
    <w:rsid w:val="00534719"/>
    <w:rsid w:val="00534B2D"/>
    <w:rsid w:val="00535D54"/>
    <w:rsid w:val="00537665"/>
    <w:rsid w:val="00541864"/>
    <w:rsid w:val="005463C4"/>
    <w:rsid w:val="0054788F"/>
    <w:rsid w:val="00547FB4"/>
    <w:rsid w:val="005516A6"/>
    <w:rsid w:val="00554005"/>
    <w:rsid w:val="0055413A"/>
    <w:rsid w:val="005558CB"/>
    <w:rsid w:val="00560CE0"/>
    <w:rsid w:val="00562BDB"/>
    <w:rsid w:val="00564E42"/>
    <w:rsid w:val="00564EAB"/>
    <w:rsid w:val="00567A30"/>
    <w:rsid w:val="00571465"/>
    <w:rsid w:val="00571A48"/>
    <w:rsid w:val="00572FC4"/>
    <w:rsid w:val="005807B9"/>
    <w:rsid w:val="005826BA"/>
    <w:rsid w:val="005832E3"/>
    <w:rsid w:val="00583842"/>
    <w:rsid w:val="00584547"/>
    <w:rsid w:val="005851D0"/>
    <w:rsid w:val="0058560C"/>
    <w:rsid w:val="00585BA6"/>
    <w:rsid w:val="00585F5A"/>
    <w:rsid w:val="005868CF"/>
    <w:rsid w:val="005868F2"/>
    <w:rsid w:val="00586E4D"/>
    <w:rsid w:val="0059170E"/>
    <w:rsid w:val="0059175B"/>
    <w:rsid w:val="00591C3E"/>
    <w:rsid w:val="00595108"/>
    <w:rsid w:val="00597541"/>
    <w:rsid w:val="00597FB7"/>
    <w:rsid w:val="005A08EF"/>
    <w:rsid w:val="005A0DC3"/>
    <w:rsid w:val="005A1635"/>
    <w:rsid w:val="005A1E3E"/>
    <w:rsid w:val="005A3F37"/>
    <w:rsid w:val="005A473C"/>
    <w:rsid w:val="005A5087"/>
    <w:rsid w:val="005A6128"/>
    <w:rsid w:val="005A64AF"/>
    <w:rsid w:val="005A64DE"/>
    <w:rsid w:val="005A742A"/>
    <w:rsid w:val="005A7B8E"/>
    <w:rsid w:val="005B082A"/>
    <w:rsid w:val="005B1575"/>
    <w:rsid w:val="005B4FF5"/>
    <w:rsid w:val="005B6BF8"/>
    <w:rsid w:val="005B6F81"/>
    <w:rsid w:val="005C09E0"/>
    <w:rsid w:val="005C1D0B"/>
    <w:rsid w:val="005C2818"/>
    <w:rsid w:val="005D0165"/>
    <w:rsid w:val="005D0304"/>
    <w:rsid w:val="005D20CA"/>
    <w:rsid w:val="005D3CAB"/>
    <w:rsid w:val="005D6994"/>
    <w:rsid w:val="005D7D1D"/>
    <w:rsid w:val="005E011B"/>
    <w:rsid w:val="005E01D2"/>
    <w:rsid w:val="005E3685"/>
    <w:rsid w:val="005E48F0"/>
    <w:rsid w:val="005E5470"/>
    <w:rsid w:val="005F1ABB"/>
    <w:rsid w:val="005F6C0D"/>
    <w:rsid w:val="005F711B"/>
    <w:rsid w:val="005F74D6"/>
    <w:rsid w:val="00600FC4"/>
    <w:rsid w:val="00604A6D"/>
    <w:rsid w:val="00604FE1"/>
    <w:rsid w:val="006063A0"/>
    <w:rsid w:val="00606D7B"/>
    <w:rsid w:val="00607F11"/>
    <w:rsid w:val="00610FD3"/>
    <w:rsid w:val="00613B00"/>
    <w:rsid w:val="00613D84"/>
    <w:rsid w:val="0061523E"/>
    <w:rsid w:val="00615F25"/>
    <w:rsid w:val="00620107"/>
    <w:rsid w:val="00620C37"/>
    <w:rsid w:val="00626A28"/>
    <w:rsid w:val="00626A6F"/>
    <w:rsid w:val="006300DE"/>
    <w:rsid w:val="006302F5"/>
    <w:rsid w:val="0063355A"/>
    <w:rsid w:val="0063384D"/>
    <w:rsid w:val="006342A3"/>
    <w:rsid w:val="00634D83"/>
    <w:rsid w:val="00640FFB"/>
    <w:rsid w:val="0064110B"/>
    <w:rsid w:val="00641797"/>
    <w:rsid w:val="006419DC"/>
    <w:rsid w:val="00641E05"/>
    <w:rsid w:val="00643313"/>
    <w:rsid w:val="006438F2"/>
    <w:rsid w:val="006439B2"/>
    <w:rsid w:val="00644B9E"/>
    <w:rsid w:val="006457DC"/>
    <w:rsid w:val="006459E5"/>
    <w:rsid w:val="00650319"/>
    <w:rsid w:val="00650B3F"/>
    <w:rsid w:val="006521E6"/>
    <w:rsid w:val="00660D9E"/>
    <w:rsid w:val="00661F7B"/>
    <w:rsid w:val="006644FA"/>
    <w:rsid w:val="00666757"/>
    <w:rsid w:val="00671ACD"/>
    <w:rsid w:val="0067216D"/>
    <w:rsid w:val="00673314"/>
    <w:rsid w:val="0067375B"/>
    <w:rsid w:val="006745B3"/>
    <w:rsid w:val="00674AFE"/>
    <w:rsid w:val="00675BE8"/>
    <w:rsid w:val="0067605B"/>
    <w:rsid w:val="00676DD4"/>
    <w:rsid w:val="006779C2"/>
    <w:rsid w:val="00677B9D"/>
    <w:rsid w:val="00684075"/>
    <w:rsid w:val="006856BE"/>
    <w:rsid w:val="0068648F"/>
    <w:rsid w:val="00693004"/>
    <w:rsid w:val="00694403"/>
    <w:rsid w:val="00694B4F"/>
    <w:rsid w:val="00694EAC"/>
    <w:rsid w:val="006966A4"/>
    <w:rsid w:val="006A0330"/>
    <w:rsid w:val="006A0622"/>
    <w:rsid w:val="006A08FE"/>
    <w:rsid w:val="006A0B98"/>
    <w:rsid w:val="006A1831"/>
    <w:rsid w:val="006A26E3"/>
    <w:rsid w:val="006A3412"/>
    <w:rsid w:val="006A3695"/>
    <w:rsid w:val="006A5187"/>
    <w:rsid w:val="006A61BB"/>
    <w:rsid w:val="006A6FB7"/>
    <w:rsid w:val="006B58F1"/>
    <w:rsid w:val="006C08E6"/>
    <w:rsid w:val="006C110B"/>
    <w:rsid w:val="006C1902"/>
    <w:rsid w:val="006C1D99"/>
    <w:rsid w:val="006C212C"/>
    <w:rsid w:val="006C28BC"/>
    <w:rsid w:val="006C3376"/>
    <w:rsid w:val="006C3C04"/>
    <w:rsid w:val="006C42B2"/>
    <w:rsid w:val="006C4737"/>
    <w:rsid w:val="006C5651"/>
    <w:rsid w:val="006C637C"/>
    <w:rsid w:val="006D10A0"/>
    <w:rsid w:val="006D1F31"/>
    <w:rsid w:val="006D20E0"/>
    <w:rsid w:val="006D3325"/>
    <w:rsid w:val="006D3A59"/>
    <w:rsid w:val="006E001C"/>
    <w:rsid w:val="006E2B5D"/>
    <w:rsid w:val="006E6291"/>
    <w:rsid w:val="006E7C84"/>
    <w:rsid w:val="006F263A"/>
    <w:rsid w:val="006F38C0"/>
    <w:rsid w:val="006F4A84"/>
    <w:rsid w:val="006F7395"/>
    <w:rsid w:val="00700153"/>
    <w:rsid w:val="007016AB"/>
    <w:rsid w:val="007031BE"/>
    <w:rsid w:val="0071194E"/>
    <w:rsid w:val="00712426"/>
    <w:rsid w:val="00713644"/>
    <w:rsid w:val="00715EA1"/>
    <w:rsid w:val="00716A55"/>
    <w:rsid w:val="00716FB3"/>
    <w:rsid w:val="00717D18"/>
    <w:rsid w:val="0072062A"/>
    <w:rsid w:val="00720CB7"/>
    <w:rsid w:val="00721DC8"/>
    <w:rsid w:val="007228A5"/>
    <w:rsid w:val="0072322F"/>
    <w:rsid w:val="00723856"/>
    <w:rsid w:val="00724BCA"/>
    <w:rsid w:val="00727B6D"/>
    <w:rsid w:val="007306DC"/>
    <w:rsid w:val="007378D1"/>
    <w:rsid w:val="00741DEA"/>
    <w:rsid w:val="00742204"/>
    <w:rsid w:val="007441A2"/>
    <w:rsid w:val="00744B90"/>
    <w:rsid w:val="007452C9"/>
    <w:rsid w:val="00746C3A"/>
    <w:rsid w:val="00746E64"/>
    <w:rsid w:val="00747ED8"/>
    <w:rsid w:val="007526EC"/>
    <w:rsid w:val="007527FC"/>
    <w:rsid w:val="00755C2B"/>
    <w:rsid w:val="00757995"/>
    <w:rsid w:val="00757F5B"/>
    <w:rsid w:val="007604F9"/>
    <w:rsid w:val="0076366E"/>
    <w:rsid w:val="00765C13"/>
    <w:rsid w:val="00770750"/>
    <w:rsid w:val="00772F44"/>
    <w:rsid w:val="007762E1"/>
    <w:rsid w:val="00777F1D"/>
    <w:rsid w:val="00780C02"/>
    <w:rsid w:val="00780CCF"/>
    <w:rsid w:val="00780F42"/>
    <w:rsid w:val="00782486"/>
    <w:rsid w:val="00783D9F"/>
    <w:rsid w:val="00786263"/>
    <w:rsid w:val="00790C71"/>
    <w:rsid w:val="00792A35"/>
    <w:rsid w:val="007940F9"/>
    <w:rsid w:val="0079430A"/>
    <w:rsid w:val="00795A01"/>
    <w:rsid w:val="007A055E"/>
    <w:rsid w:val="007A24DE"/>
    <w:rsid w:val="007A34A4"/>
    <w:rsid w:val="007A399C"/>
    <w:rsid w:val="007A6451"/>
    <w:rsid w:val="007A6EC2"/>
    <w:rsid w:val="007A7B7C"/>
    <w:rsid w:val="007B21D4"/>
    <w:rsid w:val="007B24B8"/>
    <w:rsid w:val="007B54D1"/>
    <w:rsid w:val="007B787E"/>
    <w:rsid w:val="007B7D1A"/>
    <w:rsid w:val="007C0AD8"/>
    <w:rsid w:val="007C538B"/>
    <w:rsid w:val="007C5993"/>
    <w:rsid w:val="007C7341"/>
    <w:rsid w:val="007C7B6A"/>
    <w:rsid w:val="007D0092"/>
    <w:rsid w:val="007D144A"/>
    <w:rsid w:val="007D28B4"/>
    <w:rsid w:val="007D3E4C"/>
    <w:rsid w:val="007D7331"/>
    <w:rsid w:val="007D7883"/>
    <w:rsid w:val="007D7CF2"/>
    <w:rsid w:val="007E4376"/>
    <w:rsid w:val="007E4D1C"/>
    <w:rsid w:val="007F0901"/>
    <w:rsid w:val="007F11E7"/>
    <w:rsid w:val="007F25AC"/>
    <w:rsid w:val="00803448"/>
    <w:rsid w:val="00804BE3"/>
    <w:rsid w:val="0080749F"/>
    <w:rsid w:val="00815AB2"/>
    <w:rsid w:val="00815EF3"/>
    <w:rsid w:val="00817ABB"/>
    <w:rsid w:val="00821B89"/>
    <w:rsid w:val="0082332F"/>
    <w:rsid w:val="00823B35"/>
    <w:rsid w:val="008261BB"/>
    <w:rsid w:val="00826348"/>
    <w:rsid w:val="008277DC"/>
    <w:rsid w:val="00830578"/>
    <w:rsid w:val="008317B5"/>
    <w:rsid w:val="00832F39"/>
    <w:rsid w:val="0083463C"/>
    <w:rsid w:val="00840B8B"/>
    <w:rsid w:val="00843027"/>
    <w:rsid w:val="00851D3A"/>
    <w:rsid w:val="0085207E"/>
    <w:rsid w:val="008577C3"/>
    <w:rsid w:val="008602DE"/>
    <w:rsid w:val="00860421"/>
    <w:rsid w:val="00861193"/>
    <w:rsid w:val="0086236D"/>
    <w:rsid w:val="008652F8"/>
    <w:rsid w:val="008658C9"/>
    <w:rsid w:val="00866257"/>
    <w:rsid w:val="0087262E"/>
    <w:rsid w:val="00872B4A"/>
    <w:rsid w:val="008735AC"/>
    <w:rsid w:val="00875536"/>
    <w:rsid w:val="0087739A"/>
    <w:rsid w:val="0088335D"/>
    <w:rsid w:val="00883FE1"/>
    <w:rsid w:val="00884613"/>
    <w:rsid w:val="00890DA0"/>
    <w:rsid w:val="00893F37"/>
    <w:rsid w:val="008943EC"/>
    <w:rsid w:val="008947DB"/>
    <w:rsid w:val="00894E42"/>
    <w:rsid w:val="00895B50"/>
    <w:rsid w:val="00896200"/>
    <w:rsid w:val="008A2B84"/>
    <w:rsid w:val="008A7665"/>
    <w:rsid w:val="008B1B33"/>
    <w:rsid w:val="008B5753"/>
    <w:rsid w:val="008B6AE8"/>
    <w:rsid w:val="008B6FD6"/>
    <w:rsid w:val="008B7552"/>
    <w:rsid w:val="008C0A7E"/>
    <w:rsid w:val="008C1466"/>
    <w:rsid w:val="008C2629"/>
    <w:rsid w:val="008D1471"/>
    <w:rsid w:val="008D236C"/>
    <w:rsid w:val="008D2B5B"/>
    <w:rsid w:val="008D35F3"/>
    <w:rsid w:val="008D586E"/>
    <w:rsid w:val="008D6987"/>
    <w:rsid w:val="008D6CCC"/>
    <w:rsid w:val="008E07ED"/>
    <w:rsid w:val="008E07F4"/>
    <w:rsid w:val="008E1523"/>
    <w:rsid w:val="008E3CF0"/>
    <w:rsid w:val="008E46A7"/>
    <w:rsid w:val="008E622E"/>
    <w:rsid w:val="008E7087"/>
    <w:rsid w:val="008F0395"/>
    <w:rsid w:val="008F0E0A"/>
    <w:rsid w:val="008F33B9"/>
    <w:rsid w:val="008F373F"/>
    <w:rsid w:val="008F75FF"/>
    <w:rsid w:val="00900018"/>
    <w:rsid w:val="00902873"/>
    <w:rsid w:val="00904124"/>
    <w:rsid w:val="009054EB"/>
    <w:rsid w:val="0090769E"/>
    <w:rsid w:val="00911759"/>
    <w:rsid w:val="00911ECD"/>
    <w:rsid w:val="009144E8"/>
    <w:rsid w:val="00923425"/>
    <w:rsid w:val="009246EF"/>
    <w:rsid w:val="0092575E"/>
    <w:rsid w:val="00925D66"/>
    <w:rsid w:val="0092797C"/>
    <w:rsid w:val="00927C66"/>
    <w:rsid w:val="00930A26"/>
    <w:rsid w:val="00931067"/>
    <w:rsid w:val="00932C62"/>
    <w:rsid w:val="009335AE"/>
    <w:rsid w:val="0093439D"/>
    <w:rsid w:val="00941E80"/>
    <w:rsid w:val="00942A3E"/>
    <w:rsid w:val="00942DBA"/>
    <w:rsid w:val="00943632"/>
    <w:rsid w:val="00944071"/>
    <w:rsid w:val="009440F5"/>
    <w:rsid w:val="00945587"/>
    <w:rsid w:val="00947B28"/>
    <w:rsid w:val="00950D5C"/>
    <w:rsid w:val="00952DA6"/>
    <w:rsid w:val="00952FBF"/>
    <w:rsid w:val="009547FB"/>
    <w:rsid w:val="0095568D"/>
    <w:rsid w:val="009571D0"/>
    <w:rsid w:val="0096108C"/>
    <w:rsid w:val="00961D4D"/>
    <w:rsid w:val="00961EE8"/>
    <w:rsid w:val="00963987"/>
    <w:rsid w:val="00966AD8"/>
    <w:rsid w:val="00967456"/>
    <w:rsid w:val="00972851"/>
    <w:rsid w:val="009745CE"/>
    <w:rsid w:val="009771D1"/>
    <w:rsid w:val="00980154"/>
    <w:rsid w:val="00981912"/>
    <w:rsid w:val="00981C10"/>
    <w:rsid w:val="00982F21"/>
    <w:rsid w:val="00983BC8"/>
    <w:rsid w:val="00983DE5"/>
    <w:rsid w:val="0098489D"/>
    <w:rsid w:val="00984F69"/>
    <w:rsid w:val="0098711E"/>
    <w:rsid w:val="00992ECB"/>
    <w:rsid w:val="00993712"/>
    <w:rsid w:val="00993930"/>
    <w:rsid w:val="00997815"/>
    <w:rsid w:val="009A1777"/>
    <w:rsid w:val="009A1780"/>
    <w:rsid w:val="009A43BA"/>
    <w:rsid w:val="009A71E9"/>
    <w:rsid w:val="009B1A7C"/>
    <w:rsid w:val="009B1CB3"/>
    <w:rsid w:val="009B285D"/>
    <w:rsid w:val="009B2D22"/>
    <w:rsid w:val="009B3B58"/>
    <w:rsid w:val="009B592B"/>
    <w:rsid w:val="009B7C94"/>
    <w:rsid w:val="009C1987"/>
    <w:rsid w:val="009C1CCD"/>
    <w:rsid w:val="009C52FD"/>
    <w:rsid w:val="009C60E6"/>
    <w:rsid w:val="009C64B2"/>
    <w:rsid w:val="009D1BDB"/>
    <w:rsid w:val="009D309E"/>
    <w:rsid w:val="009D409C"/>
    <w:rsid w:val="009D4B08"/>
    <w:rsid w:val="009D53B5"/>
    <w:rsid w:val="009D7D74"/>
    <w:rsid w:val="009E1BB3"/>
    <w:rsid w:val="009F447F"/>
    <w:rsid w:val="009F46C9"/>
    <w:rsid w:val="009F51BD"/>
    <w:rsid w:val="009F651E"/>
    <w:rsid w:val="00A01308"/>
    <w:rsid w:val="00A01ADE"/>
    <w:rsid w:val="00A03461"/>
    <w:rsid w:val="00A1402B"/>
    <w:rsid w:val="00A16432"/>
    <w:rsid w:val="00A17548"/>
    <w:rsid w:val="00A17659"/>
    <w:rsid w:val="00A20B79"/>
    <w:rsid w:val="00A21289"/>
    <w:rsid w:val="00A22AF9"/>
    <w:rsid w:val="00A23AF3"/>
    <w:rsid w:val="00A243BA"/>
    <w:rsid w:val="00A2507E"/>
    <w:rsid w:val="00A267C4"/>
    <w:rsid w:val="00A32078"/>
    <w:rsid w:val="00A326A4"/>
    <w:rsid w:val="00A37813"/>
    <w:rsid w:val="00A37859"/>
    <w:rsid w:val="00A433BA"/>
    <w:rsid w:val="00A5653E"/>
    <w:rsid w:val="00A56AA2"/>
    <w:rsid w:val="00A60451"/>
    <w:rsid w:val="00A60B5B"/>
    <w:rsid w:val="00A61163"/>
    <w:rsid w:val="00A62D8C"/>
    <w:rsid w:val="00A63936"/>
    <w:rsid w:val="00A6433E"/>
    <w:rsid w:val="00A7691D"/>
    <w:rsid w:val="00A7734D"/>
    <w:rsid w:val="00A807CD"/>
    <w:rsid w:val="00A80FD4"/>
    <w:rsid w:val="00A81ECB"/>
    <w:rsid w:val="00A82157"/>
    <w:rsid w:val="00A836D6"/>
    <w:rsid w:val="00A85800"/>
    <w:rsid w:val="00A85B00"/>
    <w:rsid w:val="00A85EB2"/>
    <w:rsid w:val="00A87E4A"/>
    <w:rsid w:val="00A95AD7"/>
    <w:rsid w:val="00AA00AB"/>
    <w:rsid w:val="00AA0DB0"/>
    <w:rsid w:val="00AA4A4A"/>
    <w:rsid w:val="00AA61C8"/>
    <w:rsid w:val="00AB0AAE"/>
    <w:rsid w:val="00AB1196"/>
    <w:rsid w:val="00AB22B0"/>
    <w:rsid w:val="00AB238C"/>
    <w:rsid w:val="00AB323F"/>
    <w:rsid w:val="00AB4EF1"/>
    <w:rsid w:val="00AB5EA9"/>
    <w:rsid w:val="00AC0A75"/>
    <w:rsid w:val="00AC2958"/>
    <w:rsid w:val="00AC52F9"/>
    <w:rsid w:val="00AC59A7"/>
    <w:rsid w:val="00AC6283"/>
    <w:rsid w:val="00AC745C"/>
    <w:rsid w:val="00AD336A"/>
    <w:rsid w:val="00AD3997"/>
    <w:rsid w:val="00AD4EC0"/>
    <w:rsid w:val="00AD5749"/>
    <w:rsid w:val="00AE00E4"/>
    <w:rsid w:val="00AE23DB"/>
    <w:rsid w:val="00AE4362"/>
    <w:rsid w:val="00AE54D2"/>
    <w:rsid w:val="00AF3AFC"/>
    <w:rsid w:val="00AF696A"/>
    <w:rsid w:val="00AF714F"/>
    <w:rsid w:val="00B00677"/>
    <w:rsid w:val="00B008CC"/>
    <w:rsid w:val="00B019A7"/>
    <w:rsid w:val="00B02734"/>
    <w:rsid w:val="00B03111"/>
    <w:rsid w:val="00B04BED"/>
    <w:rsid w:val="00B04FDF"/>
    <w:rsid w:val="00B057A3"/>
    <w:rsid w:val="00B05A08"/>
    <w:rsid w:val="00B07EEF"/>
    <w:rsid w:val="00B11945"/>
    <w:rsid w:val="00B123F5"/>
    <w:rsid w:val="00B131C1"/>
    <w:rsid w:val="00B15F71"/>
    <w:rsid w:val="00B227E9"/>
    <w:rsid w:val="00B22CFE"/>
    <w:rsid w:val="00B264A4"/>
    <w:rsid w:val="00B27A6C"/>
    <w:rsid w:val="00B31842"/>
    <w:rsid w:val="00B329F0"/>
    <w:rsid w:val="00B35B3F"/>
    <w:rsid w:val="00B40C5E"/>
    <w:rsid w:val="00B42F3B"/>
    <w:rsid w:val="00B430B1"/>
    <w:rsid w:val="00B446F9"/>
    <w:rsid w:val="00B469E2"/>
    <w:rsid w:val="00B47FAA"/>
    <w:rsid w:val="00B52CF9"/>
    <w:rsid w:val="00B54CAD"/>
    <w:rsid w:val="00B555AF"/>
    <w:rsid w:val="00B56B4D"/>
    <w:rsid w:val="00B653B5"/>
    <w:rsid w:val="00B65866"/>
    <w:rsid w:val="00B702A5"/>
    <w:rsid w:val="00B7038B"/>
    <w:rsid w:val="00B7070A"/>
    <w:rsid w:val="00B709CE"/>
    <w:rsid w:val="00B70BE7"/>
    <w:rsid w:val="00B72051"/>
    <w:rsid w:val="00B747A3"/>
    <w:rsid w:val="00B772A2"/>
    <w:rsid w:val="00B8046D"/>
    <w:rsid w:val="00B847A2"/>
    <w:rsid w:val="00B84C21"/>
    <w:rsid w:val="00B90104"/>
    <w:rsid w:val="00B91408"/>
    <w:rsid w:val="00B949F0"/>
    <w:rsid w:val="00B953C0"/>
    <w:rsid w:val="00B95AD4"/>
    <w:rsid w:val="00B9676A"/>
    <w:rsid w:val="00BA22C3"/>
    <w:rsid w:val="00BA2AD5"/>
    <w:rsid w:val="00BA3754"/>
    <w:rsid w:val="00BA7A01"/>
    <w:rsid w:val="00BB02E0"/>
    <w:rsid w:val="00BB0F6A"/>
    <w:rsid w:val="00BB25C4"/>
    <w:rsid w:val="00BB3022"/>
    <w:rsid w:val="00BC318F"/>
    <w:rsid w:val="00BC520B"/>
    <w:rsid w:val="00BC65A5"/>
    <w:rsid w:val="00BD0107"/>
    <w:rsid w:val="00BD3BF7"/>
    <w:rsid w:val="00BD4134"/>
    <w:rsid w:val="00BD4704"/>
    <w:rsid w:val="00BD5EFA"/>
    <w:rsid w:val="00BE1683"/>
    <w:rsid w:val="00BE46E5"/>
    <w:rsid w:val="00BE5F72"/>
    <w:rsid w:val="00BF0B55"/>
    <w:rsid w:val="00BF1C9E"/>
    <w:rsid w:val="00C00F08"/>
    <w:rsid w:val="00C022B8"/>
    <w:rsid w:val="00C026EA"/>
    <w:rsid w:val="00C12BD9"/>
    <w:rsid w:val="00C13652"/>
    <w:rsid w:val="00C1568C"/>
    <w:rsid w:val="00C16477"/>
    <w:rsid w:val="00C167E1"/>
    <w:rsid w:val="00C170E3"/>
    <w:rsid w:val="00C1750D"/>
    <w:rsid w:val="00C22684"/>
    <w:rsid w:val="00C22CC0"/>
    <w:rsid w:val="00C24795"/>
    <w:rsid w:val="00C24FC3"/>
    <w:rsid w:val="00C265EA"/>
    <w:rsid w:val="00C2789E"/>
    <w:rsid w:val="00C33982"/>
    <w:rsid w:val="00C342EF"/>
    <w:rsid w:val="00C355E7"/>
    <w:rsid w:val="00C37986"/>
    <w:rsid w:val="00C427F1"/>
    <w:rsid w:val="00C43CE8"/>
    <w:rsid w:val="00C45752"/>
    <w:rsid w:val="00C4711A"/>
    <w:rsid w:val="00C47F59"/>
    <w:rsid w:val="00C51870"/>
    <w:rsid w:val="00C525D5"/>
    <w:rsid w:val="00C53339"/>
    <w:rsid w:val="00C5339D"/>
    <w:rsid w:val="00C53EB2"/>
    <w:rsid w:val="00C56A1C"/>
    <w:rsid w:val="00C57240"/>
    <w:rsid w:val="00C579D0"/>
    <w:rsid w:val="00C57E51"/>
    <w:rsid w:val="00C626B2"/>
    <w:rsid w:val="00C63881"/>
    <w:rsid w:val="00C651E7"/>
    <w:rsid w:val="00C65600"/>
    <w:rsid w:val="00C656E4"/>
    <w:rsid w:val="00C65755"/>
    <w:rsid w:val="00C7066D"/>
    <w:rsid w:val="00C7671F"/>
    <w:rsid w:val="00C814E0"/>
    <w:rsid w:val="00C82071"/>
    <w:rsid w:val="00C82C94"/>
    <w:rsid w:val="00C8697F"/>
    <w:rsid w:val="00C86C94"/>
    <w:rsid w:val="00C87ABA"/>
    <w:rsid w:val="00C91FC7"/>
    <w:rsid w:val="00C95904"/>
    <w:rsid w:val="00C97664"/>
    <w:rsid w:val="00C97A9A"/>
    <w:rsid w:val="00CA07F3"/>
    <w:rsid w:val="00CA08BE"/>
    <w:rsid w:val="00CA6662"/>
    <w:rsid w:val="00CA7503"/>
    <w:rsid w:val="00CA77CA"/>
    <w:rsid w:val="00CB1517"/>
    <w:rsid w:val="00CB4376"/>
    <w:rsid w:val="00CB5C15"/>
    <w:rsid w:val="00CB661E"/>
    <w:rsid w:val="00CB6DA1"/>
    <w:rsid w:val="00CC010C"/>
    <w:rsid w:val="00CC7A8C"/>
    <w:rsid w:val="00CD0F6C"/>
    <w:rsid w:val="00CD1978"/>
    <w:rsid w:val="00CD1D4D"/>
    <w:rsid w:val="00CD1EE2"/>
    <w:rsid w:val="00CD43B4"/>
    <w:rsid w:val="00CD513B"/>
    <w:rsid w:val="00CD5431"/>
    <w:rsid w:val="00CD6E05"/>
    <w:rsid w:val="00CE0C8C"/>
    <w:rsid w:val="00CE0DEE"/>
    <w:rsid w:val="00CE0EA5"/>
    <w:rsid w:val="00CE4ACA"/>
    <w:rsid w:val="00CE71D8"/>
    <w:rsid w:val="00CE7598"/>
    <w:rsid w:val="00CE7F08"/>
    <w:rsid w:val="00CF01CF"/>
    <w:rsid w:val="00CF127F"/>
    <w:rsid w:val="00CF4BF1"/>
    <w:rsid w:val="00CF4EB0"/>
    <w:rsid w:val="00CF6068"/>
    <w:rsid w:val="00CF70B3"/>
    <w:rsid w:val="00CF731D"/>
    <w:rsid w:val="00D02D6A"/>
    <w:rsid w:val="00D031ED"/>
    <w:rsid w:val="00D05544"/>
    <w:rsid w:val="00D10367"/>
    <w:rsid w:val="00D10D69"/>
    <w:rsid w:val="00D10F60"/>
    <w:rsid w:val="00D136D7"/>
    <w:rsid w:val="00D166C5"/>
    <w:rsid w:val="00D20DE7"/>
    <w:rsid w:val="00D237A4"/>
    <w:rsid w:val="00D23D64"/>
    <w:rsid w:val="00D254CD"/>
    <w:rsid w:val="00D2743F"/>
    <w:rsid w:val="00D31347"/>
    <w:rsid w:val="00D317C8"/>
    <w:rsid w:val="00D31816"/>
    <w:rsid w:val="00D336C5"/>
    <w:rsid w:val="00D34011"/>
    <w:rsid w:val="00D35129"/>
    <w:rsid w:val="00D351E3"/>
    <w:rsid w:val="00D40AEF"/>
    <w:rsid w:val="00D447E9"/>
    <w:rsid w:val="00D457CF"/>
    <w:rsid w:val="00D46159"/>
    <w:rsid w:val="00D464C4"/>
    <w:rsid w:val="00D52445"/>
    <w:rsid w:val="00D524D8"/>
    <w:rsid w:val="00D5459E"/>
    <w:rsid w:val="00D54D3A"/>
    <w:rsid w:val="00D61D8E"/>
    <w:rsid w:val="00D63D23"/>
    <w:rsid w:val="00D704A8"/>
    <w:rsid w:val="00D71CC9"/>
    <w:rsid w:val="00D72309"/>
    <w:rsid w:val="00D73B96"/>
    <w:rsid w:val="00D74295"/>
    <w:rsid w:val="00D81F34"/>
    <w:rsid w:val="00D82306"/>
    <w:rsid w:val="00D84CE3"/>
    <w:rsid w:val="00D85C2E"/>
    <w:rsid w:val="00D86848"/>
    <w:rsid w:val="00D86903"/>
    <w:rsid w:val="00D90C89"/>
    <w:rsid w:val="00D913F8"/>
    <w:rsid w:val="00D94778"/>
    <w:rsid w:val="00D96B27"/>
    <w:rsid w:val="00DA0231"/>
    <w:rsid w:val="00DA029D"/>
    <w:rsid w:val="00DA146B"/>
    <w:rsid w:val="00DA4E1D"/>
    <w:rsid w:val="00DA5315"/>
    <w:rsid w:val="00DB16A4"/>
    <w:rsid w:val="00DB3FDD"/>
    <w:rsid w:val="00DB45B4"/>
    <w:rsid w:val="00DB4955"/>
    <w:rsid w:val="00DB586C"/>
    <w:rsid w:val="00DB6B50"/>
    <w:rsid w:val="00DB719D"/>
    <w:rsid w:val="00DC23CA"/>
    <w:rsid w:val="00DC5E97"/>
    <w:rsid w:val="00DC621C"/>
    <w:rsid w:val="00DC701B"/>
    <w:rsid w:val="00DD0837"/>
    <w:rsid w:val="00DD2377"/>
    <w:rsid w:val="00DD2E49"/>
    <w:rsid w:val="00DD5DB8"/>
    <w:rsid w:val="00DE244D"/>
    <w:rsid w:val="00DE2AAC"/>
    <w:rsid w:val="00DE478A"/>
    <w:rsid w:val="00DE7559"/>
    <w:rsid w:val="00DE756A"/>
    <w:rsid w:val="00DE7849"/>
    <w:rsid w:val="00DF09FC"/>
    <w:rsid w:val="00DF3820"/>
    <w:rsid w:val="00DF48AC"/>
    <w:rsid w:val="00DF7781"/>
    <w:rsid w:val="00DF7B80"/>
    <w:rsid w:val="00E02AA8"/>
    <w:rsid w:val="00E02B96"/>
    <w:rsid w:val="00E07280"/>
    <w:rsid w:val="00E10001"/>
    <w:rsid w:val="00E1214B"/>
    <w:rsid w:val="00E15EBB"/>
    <w:rsid w:val="00E16890"/>
    <w:rsid w:val="00E16E77"/>
    <w:rsid w:val="00E170AC"/>
    <w:rsid w:val="00E21501"/>
    <w:rsid w:val="00E22ADB"/>
    <w:rsid w:val="00E23530"/>
    <w:rsid w:val="00E27128"/>
    <w:rsid w:val="00E279D0"/>
    <w:rsid w:val="00E30304"/>
    <w:rsid w:val="00E303E2"/>
    <w:rsid w:val="00E33C2B"/>
    <w:rsid w:val="00E374BE"/>
    <w:rsid w:val="00E375AB"/>
    <w:rsid w:val="00E47183"/>
    <w:rsid w:val="00E500C8"/>
    <w:rsid w:val="00E50235"/>
    <w:rsid w:val="00E5140B"/>
    <w:rsid w:val="00E526A6"/>
    <w:rsid w:val="00E529CD"/>
    <w:rsid w:val="00E55CA5"/>
    <w:rsid w:val="00E56036"/>
    <w:rsid w:val="00E56626"/>
    <w:rsid w:val="00E620C2"/>
    <w:rsid w:val="00E67D41"/>
    <w:rsid w:val="00E71CD0"/>
    <w:rsid w:val="00E7535A"/>
    <w:rsid w:val="00E75755"/>
    <w:rsid w:val="00E76641"/>
    <w:rsid w:val="00E80851"/>
    <w:rsid w:val="00E80E68"/>
    <w:rsid w:val="00E810D8"/>
    <w:rsid w:val="00E83B9D"/>
    <w:rsid w:val="00E84034"/>
    <w:rsid w:val="00E846A3"/>
    <w:rsid w:val="00E84918"/>
    <w:rsid w:val="00E84CAB"/>
    <w:rsid w:val="00E8507D"/>
    <w:rsid w:val="00E85750"/>
    <w:rsid w:val="00E861F1"/>
    <w:rsid w:val="00E87AE7"/>
    <w:rsid w:val="00E91DE8"/>
    <w:rsid w:val="00E94BC3"/>
    <w:rsid w:val="00EA1386"/>
    <w:rsid w:val="00EA5383"/>
    <w:rsid w:val="00EA610F"/>
    <w:rsid w:val="00EB02BB"/>
    <w:rsid w:val="00EB1CB2"/>
    <w:rsid w:val="00EB211F"/>
    <w:rsid w:val="00EB423E"/>
    <w:rsid w:val="00EB45BE"/>
    <w:rsid w:val="00EB62A2"/>
    <w:rsid w:val="00EB6F57"/>
    <w:rsid w:val="00EB7856"/>
    <w:rsid w:val="00EC2E6E"/>
    <w:rsid w:val="00EC2F81"/>
    <w:rsid w:val="00EC3059"/>
    <w:rsid w:val="00EC5D81"/>
    <w:rsid w:val="00EC6BA4"/>
    <w:rsid w:val="00ED0125"/>
    <w:rsid w:val="00ED0C48"/>
    <w:rsid w:val="00ED2835"/>
    <w:rsid w:val="00ED2ABB"/>
    <w:rsid w:val="00ED3D67"/>
    <w:rsid w:val="00EE14D4"/>
    <w:rsid w:val="00EE184C"/>
    <w:rsid w:val="00EE491F"/>
    <w:rsid w:val="00EF04BD"/>
    <w:rsid w:val="00EF0E94"/>
    <w:rsid w:val="00EF41A9"/>
    <w:rsid w:val="00EF4789"/>
    <w:rsid w:val="00EF6590"/>
    <w:rsid w:val="00F00509"/>
    <w:rsid w:val="00F0123D"/>
    <w:rsid w:val="00F019E3"/>
    <w:rsid w:val="00F027FF"/>
    <w:rsid w:val="00F04872"/>
    <w:rsid w:val="00F05766"/>
    <w:rsid w:val="00F06C52"/>
    <w:rsid w:val="00F10C39"/>
    <w:rsid w:val="00F144A6"/>
    <w:rsid w:val="00F14F1D"/>
    <w:rsid w:val="00F1505B"/>
    <w:rsid w:val="00F1646C"/>
    <w:rsid w:val="00F1742D"/>
    <w:rsid w:val="00F17951"/>
    <w:rsid w:val="00F20864"/>
    <w:rsid w:val="00F22B52"/>
    <w:rsid w:val="00F22E84"/>
    <w:rsid w:val="00F243B2"/>
    <w:rsid w:val="00F24BF7"/>
    <w:rsid w:val="00F25580"/>
    <w:rsid w:val="00F25E33"/>
    <w:rsid w:val="00F267C9"/>
    <w:rsid w:val="00F26815"/>
    <w:rsid w:val="00F2777F"/>
    <w:rsid w:val="00F30EFB"/>
    <w:rsid w:val="00F32EE4"/>
    <w:rsid w:val="00F33C38"/>
    <w:rsid w:val="00F354A8"/>
    <w:rsid w:val="00F41A4D"/>
    <w:rsid w:val="00F41C20"/>
    <w:rsid w:val="00F464BD"/>
    <w:rsid w:val="00F46B40"/>
    <w:rsid w:val="00F509F7"/>
    <w:rsid w:val="00F51D9C"/>
    <w:rsid w:val="00F52D1C"/>
    <w:rsid w:val="00F537E0"/>
    <w:rsid w:val="00F53F7F"/>
    <w:rsid w:val="00F54808"/>
    <w:rsid w:val="00F6024E"/>
    <w:rsid w:val="00F61BC3"/>
    <w:rsid w:val="00F63E94"/>
    <w:rsid w:val="00F649F1"/>
    <w:rsid w:val="00F706DD"/>
    <w:rsid w:val="00F73094"/>
    <w:rsid w:val="00F7450D"/>
    <w:rsid w:val="00F7483D"/>
    <w:rsid w:val="00F755BA"/>
    <w:rsid w:val="00F80CA0"/>
    <w:rsid w:val="00F80F1E"/>
    <w:rsid w:val="00F81EC2"/>
    <w:rsid w:val="00F84A76"/>
    <w:rsid w:val="00F85F6E"/>
    <w:rsid w:val="00F862AF"/>
    <w:rsid w:val="00F86D17"/>
    <w:rsid w:val="00F902D6"/>
    <w:rsid w:val="00F908F4"/>
    <w:rsid w:val="00F90C5B"/>
    <w:rsid w:val="00F91DE6"/>
    <w:rsid w:val="00F91F7D"/>
    <w:rsid w:val="00F927FF"/>
    <w:rsid w:val="00F93770"/>
    <w:rsid w:val="00F9396F"/>
    <w:rsid w:val="00F946CC"/>
    <w:rsid w:val="00F94AD6"/>
    <w:rsid w:val="00F94EBE"/>
    <w:rsid w:val="00F95117"/>
    <w:rsid w:val="00F96C52"/>
    <w:rsid w:val="00FA1269"/>
    <w:rsid w:val="00FA2164"/>
    <w:rsid w:val="00FA2A4C"/>
    <w:rsid w:val="00FA2FB2"/>
    <w:rsid w:val="00FA6512"/>
    <w:rsid w:val="00FA6B74"/>
    <w:rsid w:val="00FB0212"/>
    <w:rsid w:val="00FB0EA4"/>
    <w:rsid w:val="00FB3937"/>
    <w:rsid w:val="00FB627A"/>
    <w:rsid w:val="00FC2344"/>
    <w:rsid w:val="00FC4F7B"/>
    <w:rsid w:val="00FC6293"/>
    <w:rsid w:val="00FC7B89"/>
    <w:rsid w:val="00FD4C96"/>
    <w:rsid w:val="00FD5AAA"/>
    <w:rsid w:val="00FD7708"/>
    <w:rsid w:val="00FE08A5"/>
    <w:rsid w:val="00FE18B2"/>
    <w:rsid w:val="00FE1A52"/>
    <w:rsid w:val="00FE222A"/>
    <w:rsid w:val="00FE26B3"/>
    <w:rsid w:val="00FE2A5F"/>
    <w:rsid w:val="00FE2BF4"/>
    <w:rsid w:val="00FE34EF"/>
    <w:rsid w:val="00FF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2A5F"/>
    <w:pPr>
      <w:spacing w:after="120" w:line="288" w:lineRule="auto"/>
      <w:jc w:val="both"/>
    </w:pPr>
    <w:rPr>
      <w:rFonts w:eastAsia="Times New Roman" w:cs="Times New Roman"/>
      <w:sz w:val="24"/>
      <w:szCs w:val="20"/>
      <w:lang w:eastAsia="de-DE"/>
    </w:rPr>
  </w:style>
  <w:style w:type="paragraph" w:styleId="berschrift1">
    <w:name w:val="heading 1"/>
    <w:basedOn w:val="Standard"/>
    <w:next w:val="Standard"/>
    <w:link w:val="berschrift1Zchn"/>
    <w:qFormat/>
    <w:rsid w:val="00FE2A5F"/>
    <w:pPr>
      <w:keepNext/>
      <w:spacing w:before="240" w:after="60"/>
      <w:outlineLvl w:val="0"/>
    </w:pPr>
    <w:rPr>
      <w:rFonts w:cs="Arial"/>
      <w:b/>
      <w:bCs/>
      <w:kern w:val="32"/>
      <w:sz w:val="32"/>
      <w:szCs w:val="32"/>
    </w:rPr>
  </w:style>
  <w:style w:type="paragraph" w:styleId="berschrift3">
    <w:name w:val="heading 3"/>
    <w:basedOn w:val="Standard"/>
    <w:next w:val="Standard"/>
    <w:link w:val="berschrift3Zchn"/>
    <w:qFormat/>
    <w:rsid w:val="00FE2A5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E2A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2A5F"/>
  </w:style>
  <w:style w:type="paragraph" w:styleId="Fuzeile">
    <w:name w:val="footer"/>
    <w:basedOn w:val="Standard"/>
    <w:link w:val="FuzeileZchn"/>
    <w:unhideWhenUsed/>
    <w:rsid w:val="00FE2A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2A5F"/>
  </w:style>
  <w:style w:type="character" w:customStyle="1" w:styleId="berschrift1Zchn">
    <w:name w:val="Überschrift 1 Zchn"/>
    <w:basedOn w:val="Absatz-Standardschriftart"/>
    <w:link w:val="berschrift1"/>
    <w:rsid w:val="00FE2A5F"/>
    <w:rPr>
      <w:rFonts w:eastAsia="Times New Roman" w:cs="Arial"/>
      <w:b/>
      <w:bCs/>
      <w:kern w:val="32"/>
      <w:sz w:val="32"/>
      <w:szCs w:val="32"/>
      <w:lang w:eastAsia="de-DE"/>
    </w:rPr>
  </w:style>
  <w:style w:type="character" w:customStyle="1" w:styleId="berschrift3Zchn">
    <w:name w:val="Überschrift 3 Zchn"/>
    <w:basedOn w:val="Absatz-Standardschriftart"/>
    <w:link w:val="berschrift3"/>
    <w:rsid w:val="00FE2A5F"/>
    <w:rPr>
      <w:rFonts w:eastAsia="Times New Roman" w:cs="Arial"/>
      <w:b/>
      <w:bCs/>
      <w:sz w:val="26"/>
      <w:szCs w:val="26"/>
      <w:lang w:eastAsia="de-DE"/>
    </w:rPr>
  </w:style>
  <w:style w:type="table" w:styleId="Tabellenraster">
    <w:name w:val="Table Grid"/>
    <w:basedOn w:val="NormaleTabelle"/>
    <w:rsid w:val="00FE2A5F"/>
    <w:pPr>
      <w:spacing w:after="120" w:line="288"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E2A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2A5F"/>
    <w:rPr>
      <w:rFonts w:ascii="Tahoma" w:eastAsia="Times New Roman" w:hAnsi="Tahoma" w:cs="Tahoma"/>
      <w:sz w:val="16"/>
      <w:szCs w:val="16"/>
      <w:lang w:eastAsia="de-DE"/>
    </w:rPr>
  </w:style>
  <w:style w:type="paragraph" w:styleId="Listenabsatz">
    <w:name w:val="List Paragraph"/>
    <w:basedOn w:val="Standard"/>
    <w:uiPriority w:val="34"/>
    <w:qFormat/>
    <w:rsid w:val="009A43BA"/>
    <w:pPr>
      <w:ind w:left="720"/>
      <w:contextualSpacing/>
    </w:pPr>
  </w:style>
  <w:style w:type="character" w:styleId="Hyperlink">
    <w:name w:val="Hyperlink"/>
    <w:basedOn w:val="Absatz-Standardschriftart"/>
    <w:rsid w:val="0039503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2A5F"/>
    <w:pPr>
      <w:spacing w:after="120" w:line="288" w:lineRule="auto"/>
      <w:jc w:val="both"/>
    </w:pPr>
    <w:rPr>
      <w:rFonts w:eastAsia="Times New Roman" w:cs="Times New Roman"/>
      <w:sz w:val="24"/>
      <w:szCs w:val="20"/>
      <w:lang w:eastAsia="de-DE"/>
    </w:rPr>
  </w:style>
  <w:style w:type="paragraph" w:styleId="berschrift1">
    <w:name w:val="heading 1"/>
    <w:basedOn w:val="Standard"/>
    <w:next w:val="Standard"/>
    <w:link w:val="berschrift1Zchn"/>
    <w:qFormat/>
    <w:rsid w:val="00FE2A5F"/>
    <w:pPr>
      <w:keepNext/>
      <w:spacing w:before="240" w:after="60"/>
      <w:outlineLvl w:val="0"/>
    </w:pPr>
    <w:rPr>
      <w:rFonts w:cs="Arial"/>
      <w:b/>
      <w:bCs/>
      <w:kern w:val="32"/>
      <w:sz w:val="32"/>
      <w:szCs w:val="32"/>
    </w:rPr>
  </w:style>
  <w:style w:type="paragraph" w:styleId="berschrift3">
    <w:name w:val="heading 3"/>
    <w:basedOn w:val="Standard"/>
    <w:next w:val="Standard"/>
    <w:link w:val="berschrift3Zchn"/>
    <w:qFormat/>
    <w:rsid w:val="00FE2A5F"/>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FE2A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2A5F"/>
  </w:style>
  <w:style w:type="paragraph" w:styleId="Fuzeile">
    <w:name w:val="footer"/>
    <w:basedOn w:val="Standard"/>
    <w:link w:val="FuzeileZchn"/>
    <w:unhideWhenUsed/>
    <w:rsid w:val="00FE2A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2A5F"/>
  </w:style>
  <w:style w:type="character" w:customStyle="1" w:styleId="berschrift1Zchn">
    <w:name w:val="Überschrift 1 Zchn"/>
    <w:basedOn w:val="Absatz-Standardschriftart"/>
    <w:link w:val="berschrift1"/>
    <w:rsid w:val="00FE2A5F"/>
    <w:rPr>
      <w:rFonts w:eastAsia="Times New Roman" w:cs="Arial"/>
      <w:b/>
      <w:bCs/>
      <w:kern w:val="32"/>
      <w:sz w:val="32"/>
      <w:szCs w:val="32"/>
      <w:lang w:eastAsia="de-DE"/>
    </w:rPr>
  </w:style>
  <w:style w:type="character" w:customStyle="1" w:styleId="berschrift3Zchn">
    <w:name w:val="Überschrift 3 Zchn"/>
    <w:basedOn w:val="Absatz-Standardschriftart"/>
    <w:link w:val="berschrift3"/>
    <w:rsid w:val="00FE2A5F"/>
    <w:rPr>
      <w:rFonts w:eastAsia="Times New Roman" w:cs="Arial"/>
      <w:b/>
      <w:bCs/>
      <w:sz w:val="26"/>
      <w:szCs w:val="26"/>
      <w:lang w:eastAsia="de-DE"/>
    </w:rPr>
  </w:style>
  <w:style w:type="table" w:styleId="Tabellenraster">
    <w:name w:val="Table Grid"/>
    <w:basedOn w:val="NormaleTabelle"/>
    <w:rsid w:val="00FE2A5F"/>
    <w:pPr>
      <w:spacing w:after="120" w:line="288" w:lineRule="auto"/>
      <w:jc w:val="both"/>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E2A5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2A5F"/>
    <w:rPr>
      <w:rFonts w:ascii="Tahoma" w:eastAsia="Times New Roman" w:hAnsi="Tahoma" w:cs="Tahoma"/>
      <w:sz w:val="16"/>
      <w:szCs w:val="16"/>
      <w:lang w:eastAsia="de-DE"/>
    </w:rPr>
  </w:style>
  <w:style w:type="paragraph" w:styleId="Listenabsatz">
    <w:name w:val="List Paragraph"/>
    <w:basedOn w:val="Standard"/>
    <w:uiPriority w:val="34"/>
    <w:qFormat/>
    <w:rsid w:val="009A43BA"/>
    <w:pPr>
      <w:ind w:left="720"/>
      <w:contextualSpacing/>
    </w:pPr>
  </w:style>
  <w:style w:type="character" w:styleId="Hyperlink">
    <w:name w:val="Hyperlink"/>
    <w:basedOn w:val="Absatz-Standardschriftart"/>
    <w:rsid w:val="00395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3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mweltkanzlei.de"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8351</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Hans-Juergen Streibel</dc:creator>
  <cp:lastModifiedBy>Hans-Juergen Streibel</cp:lastModifiedBy>
  <cp:revision>2</cp:revision>
  <cp:lastPrinted>2018-03-01T14:21:00Z</cp:lastPrinted>
  <dcterms:created xsi:type="dcterms:W3CDTF">2018-03-21T13:35:00Z</dcterms:created>
  <dcterms:modified xsi:type="dcterms:W3CDTF">2018-03-21T13:35:00Z</dcterms:modified>
</cp:coreProperties>
</file>